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CD171" w14:textId="77777777" w:rsidR="00927B17" w:rsidRDefault="00927B17" w:rsidP="00927B17">
      <w:pPr>
        <w:pStyle w:val="NoSpacing"/>
        <w:jc w:val="center"/>
      </w:pPr>
      <w:r>
        <w:t>Pathways-IET Field Team:  Summary and Recommendations</w:t>
      </w:r>
    </w:p>
    <w:p w14:paraId="152BB31F" w14:textId="77777777" w:rsidR="00927B17" w:rsidRDefault="00927B17" w:rsidP="00927B17">
      <w:pPr>
        <w:pStyle w:val="NoSpacing"/>
      </w:pPr>
    </w:p>
    <w:p w14:paraId="48836249" w14:textId="77777777" w:rsidR="00927B17" w:rsidRPr="00A851C7" w:rsidRDefault="00927B17" w:rsidP="00927B17">
      <w:pPr>
        <w:pStyle w:val="NoSpacing"/>
        <w:rPr>
          <w:b/>
          <w:sz w:val="20"/>
          <w:szCs w:val="20"/>
        </w:rPr>
      </w:pPr>
      <w:r w:rsidRPr="00A851C7">
        <w:rPr>
          <w:b/>
          <w:sz w:val="20"/>
          <w:szCs w:val="20"/>
        </w:rPr>
        <w:t>Overview</w:t>
      </w:r>
    </w:p>
    <w:p w14:paraId="735E62EF" w14:textId="77777777" w:rsidR="001003AF" w:rsidRPr="002C4221" w:rsidRDefault="001003AF" w:rsidP="00927B17">
      <w:pPr>
        <w:pStyle w:val="NoSpacing"/>
        <w:rPr>
          <w:sz w:val="8"/>
          <w:szCs w:val="8"/>
        </w:rPr>
      </w:pPr>
    </w:p>
    <w:p w14:paraId="0706518E" w14:textId="0D8D4277" w:rsidR="001003AF" w:rsidRDefault="00390ABB" w:rsidP="00927B17">
      <w:pPr>
        <w:pStyle w:val="NoSpacing"/>
      </w:pPr>
      <w:r>
        <w:t>The follow</w:t>
      </w:r>
      <w:r w:rsidR="00F4329D">
        <w:t>ing</w:t>
      </w:r>
      <w:r>
        <w:t xml:space="preserve"> summaries reflect the work over the last year by the Pathways-IET Field Team.  The Field Team was comprised of representatives from adult schools, community college</w:t>
      </w:r>
      <w:r w:rsidR="00F4329D">
        <w:t>s</w:t>
      </w:r>
      <w:r>
        <w:t>, state agencies, and two non-profit organizations.  Our charge was to address the following areas:</w:t>
      </w:r>
    </w:p>
    <w:p w14:paraId="18736943" w14:textId="77777777" w:rsidR="00306B88" w:rsidRPr="00B212BC" w:rsidRDefault="00306B88" w:rsidP="00306B88">
      <w:pPr>
        <w:pStyle w:val="NoSpacing"/>
        <w:rPr>
          <w:color w:val="0000FF"/>
        </w:rPr>
      </w:pPr>
    </w:p>
    <w:p w14:paraId="1E99FD6B" w14:textId="77777777" w:rsidR="00306B88" w:rsidRPr="00E83386" w:rsidRDefault="00306B88" w:rsidP="00306B88">
      <w:pPr>
        <w:pStyle w:val="NoSpacing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83386">
        <w:rPr>
          <w:rFonts w:cstheme="minorHAnsi"/>
          <w:sz w:val="22"/>
          <w:szCs w:val="22"/>
        </w:rPr>
        <w:t xml:space="preserve">Issue guidance on integrated pathways &amp; effective transition of students between systems </w:t>
      </w:r>
    </w:p>
    <w:p w14:paraId="149BAFB1" w14:textId="77777777" w:rsidR="00306B88" w:rsidRPr="00E83386" w:rsidRDefault="00306B88" w:rsidP="00306B88">
      <w:pPr>
        <w:pStyle w:val="NoSpacing"/>
        <w:rPr>
          <w:rFonts w:cstheme="minorHAnsi"/>
          <w:sz w:val="22"/>
          <w:szCs w:val="22"/>
        </w:rPr>
      </w:pPr>
    </w:p>
    <w:p w14:paraId="33AFC728" w14:textId="77777777" w:rsidR="00306B88" w:rsidRPr="00E83386" w:rsidRDefault="00306B88" w:rsidP="00306B88">
      <w:pPr>
        <w:pStyle w:val="NoSpacing"/>
        <w:numPr>
          <w:ilvl w:val="0"/>
          <w:numId w:val="1"/>
        </w:numPr>
        <w:rPr>
          <w:rFonts w:cstheme="minorHAnsi"/>
          <w:sz w:val="22"/>
          <w:szCs w:val="22"/>
        </w:rPr>
      </w:pPr>
      <w:bookmarkStart w:id="0" w:name="_GoBack"/>
      <w:r w:rsidRPr="00E83386">
        <w:rPr>
          <w:rFonts w:cstheme="minorHAnsi"/>
          <w:sz w:val="22"/>
          <w:szCs w:val="22"/>
        </w:rPr>
        <w:t xml:space="preserve">Promote alignment &amp; strategies for coordinating state investments for pathway development </w:t>
      </w:r>
      <w:bookmarkEnd w:id="0"/>
      <w:r w:rsidRPr="00E83386">
        <w:rPr>
          <w:rFonts w:cstheme="minorHAnsi"/>
          <w:sz w:val="22"/>
          <w:szCs w:val="22"/>
        </w:rPr>
        <w:t xml:space="preserve">(CA Community College, CA Department of Education, Workforce system, </w:t>
      </w:r>
      <w:proofErr w:type="spellStart"/>
      <w:r w:rsidRPr="00E83386">
        <w:rPr>
          <w:rFonts w:cstheme="minorHAnsi"/>
          <w:sz w:val="22"/>
          <w:szCs w:val="22"/>
        </w:rPr>
        <w:t>etc</w:t>
      </w:r>
      <w:proofErr w:type="spellEnd"/>
      <w:r w:rsidRPr="00E83386">
        <w:rPr>
          <w:rFonts w:cstheme="minorHAnsi"/>
          <w:sz w:val="22"/>
          <w:szCs w:val="22"/>
        </w:rPr>
        <w:t>)</w:t>
      </w:r>
    </w:p>
    <w:p w14:paraId="797829A9" w14:textId="77777777" w:rsidR="00306B88" w:rsidRPr="00E83386" w:rsidRDefault="00306B88" w:rsidP="00306B88">
      <w:pPr>
        <w:pStyle w:val="NoSpacing"/>
        <w:rPr>
          <w:rFonts w:cstheme="minorHAnsi"/>
          <w:sz w:val="22"/>
          <w:szCs w:val="22"/>
        </w:rPr>
      </w:pPr>
    </w:p>
    <w:p w14:paraId="11E33A53" w14:textId="77777777" w:rsidR="00306B88" w:rsidRPr="00E83386" w:rsidRDefault="00306B88" w:rsidP="00306B88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E83386">
        <w:rPr>
          <w:rFonts w:cstheme="minorHAnsi"/>
          <w:sz w:val="22"/>
          <w:szCs w:val="22"/>
        </w:rPr>
        <w:t>Support increased practitioner capacity for career pathway design and implementation</w:t>
      </w:r>
    </w:p>
    <w:p w14:paraId="5541346E" w14:textId="77777777" w:rsidR="00306B88" w:rsidRPr="0079479A" w:rsidRDefault="00306B88" w:rsidP="00306B88">
      <w:pPr>
        <w:pStyle w:val="NoSpacing"/>
        <w:rPr>
          <w:color w:val="0000FF"/>
        </w:rPr>
      </w:pPr>
    </w:p>
    <w:p w14:paraId="4185353B" w14:textId="77777777" w:rsidR="00927B17" w:rsidRPr="00A851C7" w:rsidRDefault="00927B17" w:rsidP="00927B17">
      <w:pPr>
        <w:pStyle w:val="NoSpacing"/>
        <w:rPr>
          <w:b/>
          <w:sz w:val="20"/>
          <w:szCs w:val="20"/>
        </w:rPr>
      </w:pPr>
      <w:r w:rsidRPr="00A851C7">
        <w:rPr>
          <w:b/>
          <w:sz w:val="20"/>
          <w:szCs w:val="20"/>
        </w:rPr>
        <w:t>Definitions</w:t>
      </w:r>
    </w:p>
    <w:p w14:paraId="2E57E709" w14:textId="77777777" w:rsidR="00812688" w:rsidRPr="002C4221" w:rsidRDefault="00812688" w:rsidP="00927B17">
      <w:pPr>
        <w:pStyle w:val="NoSpacing"/>
        <w:rPr>
          <w:sz w:val="8"/>
          <w:szCs w:val="8"/>
        </w:rPr>
      </w:pPr>
    </w:p>
    <w:p w14:paraId="7D470C7F" w14:textId="6ACE77AF" w:rsidR="00812688" w:rsidRDefault="00812688" w:rsidP="00927B17">
      <w:pPr>
        <w:pStyle w:val="NoSpacing"/>
      </w:pPr>
      <w:r>
        <w:t>After reviewing a range of definitions of “</w:t>
      </w:r>
      <w:r w:rsidR="00D15DDE">
        <w:t xml:space="preserve">career </w:t>
      </w:r>
      <w:r>
        <w:t xml:space="preserve">pathways”, we agreed that it made the most sense to utilize the </w:t>
      </w:r>
      <w:r w:rsidR="002C4221">
        <w:t>definition of pathways found in the WIOA legislation</w:t>
      </w:r>
      <w:r w:rsidR="00DF3A3C">
        <w:t>:</w:t>
      </w:r>
      <w:r w:rsidR="002C4221">
        <w:t xml:space="preserve">  </w:t>
      </w:r>
    </w:p>
    <w:p w14:paraId="29B7683D" w14:textId="77777777" w:rsidR="002C4221" w:rsidRDefault="002C4221" w:rsidP="00927B17">
      <w:pPr>
        <w:pStyle w:val="NoSpacing"/>
      </w:pPr>
    </w:p>
    <w:p w14:paraId="5C91C9B9" w14:textId="446E6A2C" w:rsidR="00DF3A3C" w:rsidRPr="00A76413" w:rsidRDefault="00DF3A3C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22"/>
          <w:szCs w:val="22"/>
        </w:rPr>
      </w:pPr>
      <w:r w:rsidRPr="00DF3A3C">
        <w:rPr>
          <w:rFonts w:ascii="Helvetica Neue" w:eastAsia="Times New Roman" w:hAnsi="Helvetica Neue" w:cs="Times New Roman"/>
          <w:i/>
          <w:color w:val="323A45"/>
          <w:sz w:val="22"/>
          <w:szCs w:val="22"/>
        </w:rPr>
        <w:t>The term ‘‘career pathway’’ means a combination of rigorous and high-quality education, training, and other services tha</w:t>
      </w:r>
      <w:r w:rsidR="00D15DDE" w:rsidRPr="00A76413">
        <w:rPr>
          <w:rFonts w:ascii="Helvetica Neue" w:eastAsia="Times New Roman" w:hAnsi="Helvetica Neue" w:cs="Times New Roman"/>
          <w:i/>
          <w:color w:val="323A45"/>
          <w:sz w:val="22"/>
          <w:szCs w:val="22"/>
        </w:rPr>
        <w:t>t:</w:t>
      </w:r>
    </w:p>
    <w:p w14:paraId="5AEC0488" w14:textId="77777777" w:rsidR="00D15DDE" w:rsidRPr="00DF3A3C" w:rsidRDefault="00D15DDE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12"/>
          <w:szCs w:val="12"/>
        </w:rPr>
      </w:pPr>
    </w:p>
    <w:p w14:paraId="5FF4AA67" w14:textId="77777777" w:rsidR="00DF3A3C" w:rsidRPr="00DF3A3C" w:rsidRDefault="00DF3A3C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22"/>
          <w:szCs w:val="22"/>
        </w:rPr>
      </w:pPr>
      <w:r w:rsidRPr="00DF3A3C">
        <w:rPr>
          <w:rFonts w:ascii="Helvetica Neue" w:eastAsia="Times New Roman" w:hAnsi="Helvetica Neue" w:cs="Times New Roman"/>
          <w:i/>
          <w:color w:val="323A45"/>
          <w:sz w:val="22"/>
          <w:szCs w:val="22"/>
        </w:rPr>
        <w:t>(A) aligns with the skill needs of industries in the economy of the State or regional economy involved;</w:t>
      </w:r>
    </w:p>
    <w:p w14:paraId="2262274E" w14:textId="77777777" w:rsidR="00A76413" w:rsidRPr="00A76413" w:rsidRDefault="00A76413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8"/>
          <w:szCs w:val="8"/>
        </w:rPr>
      </w:pPr>
    </w:p>
    <w:p w14:paraId="483A1659" w14:textId="6C80C067" w:rsidR="00DF3A3C" w:rsidRPr="00DF3A3C" w:rsidRDefault="00DF3A3C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22"/>
          <w:szCs w:val="22"/>
        </w:rPr>
      </w:pPr>
      <w:r w:rsidRPr="00DF3A3C">
        <w:rPr>
          <w:rFonts w:ascii="Helvetica Neue" w:eastAsia="Times New Roman" w:hAnsi="Helvetica Neue" w:cs="Times New Roman"/>
          <w:i/>
          <w:color w:val="323A45"/>
          <w:sz w:val="22"/>
          <w:szCs w:val="22"/>
        </w:rPr>
        <w:t>(B) prepares an individual to be successful in any of a full range of secondary or postsecondary education options, including apprenticeships registered under the Act of August 16, 1937 (commonly known as the ‘‘National Apprenticeship Act’’; 50 Stat. 664, chapter 663; 29 U.S.C. 50 et seq.) (referred to individually in this Act as an ‘‘apprenticeship’’, except in section 171);</w:t>
      </w:r>
    </w:p>
    <w:p w14:paraId="242D69DA" w14:textId="77777777" w:rsidR="00A76413" w:rsidRPr="00A76413" w:rsidRDefault="00A76413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8"/>
          <w:szCs w:val="8"/>
        </w:rPr>
      </w:pPr>
    </w:p>
    <w:p w14:paraId="77782181" w14:textId="2A8AA6CA" w:rsidR="00DF3A3C" w:rsidRPr="00DF3A3C" w:rsidRDefault="00DF3A3C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22"/>
          <w:szCs w:val="22"/>
        </w:rPr>
      </w:pPr>
      <w:r w:rsidRPr="00DF3A3C">
        <w:rPr>
          <w:rFonts w:ascii="Helvetica Neue" w:eastAsia="Times New Roman" w:hAnsi="Helvetica Neue" w:cs="Times New Roman"/>
          <w:i/>
          <w:color w:val="323A45"/>
          <w:sz w:val="22"/>
          <w:szCs w:val="22"/>
        </w:rPr>
        <w:t>(C) includes counseling to support an individual in achieving the individual’s education and career goals;</w:t>
      </w:r>
    </w:p>
    <w:p w14:paraId="7F48C68B" w14:textId="77777777" w:rsidR="00A76413" w:rsidRPr="00A76413" w:rsidRDefault="00A76413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8"/>
          <w:szCs w:val="8"/>
        </w:rPr>
      </w:pPr>
    </w:p>
    <w:p w14:paraId="56AA5583" w14:textId="7D429B32" w:rsidR="00DF3A3C" w:rsidRPr="00DF3A3C" w:rsidRDefault="00DF3A3C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22"/>
          <w:szCs w:val="22"/>
        </w:rPr>
      </w:pPr>
      <w:r w:rsidRPr="00DF3A3C">
        <w:rPr>
          <w:rFonts w:ascii="Helvetica Neue" w:eastAsia="Times New Roman" w:hAnsi="Helvetica Neue" w:cs="Times New Roman"/>
          <w:i/>
          <w:color w:val="323A45"/>
          <w:sz w:val="22"/>
          <w:szCs w:val="22"/>
        </w:rPr>
        <w:t>(D) includes, as appropriate, education offered concurrently with and in the same context as workforce preparation activities and training for a specific occupation or occupational cluster;</w:t>
      </w:r>
    </w:p>
    <w:p w14:paraId="61B68DB4" w14:textId="77777777" w:rsidR="00A76413" w:rsidRPr="00A76413" w:rsidRDefault="00A76413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8"/>
          <w:szCs w:val="8"/>
        </w:rPr>
      </w:pPr>
    </w:p>
    <w:p w14:paraId="5F9F61F9" w14:textId="25F5CC97" w:rsidR="00DF3A3C" w:rsidRPr="00DF3A3C" w:rsidRDefault="00DF3A3C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22"/>
          <w:szCs w:val="22"/>
        </w:rPr>
      </w:pPr>
      <w:r w:rsidRPr="00DF3A3C">
        <w:rPr>
          <w:rFonts w:ascii="Helvetica Neue" w:eastAsia="Times New Roman" w:hAnsi="Helvetica Neue" w:cs="Times New Roman"/>
          <w:i/>
          <w:color w:val="323A45"/>
          <w:sz w:val="22"/>
          <w:szCs w:val="22"/>
        </w:rPr>
        <w:t>(E) organizes education, training, and other services to meet the particular needs of an individual in a manner that accelerates the educational and career advancement of the individual to the extent practicable;</w:t>
      </w:r>
    </w:p>
    <w:p w14:paraId="133EA5C1" w14:textId="77777777" w:rsidR="00A76413" w:rsidRPr="00A76413" w:rsidRDefault="00A76413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8"/>
          <w:szCs w:val="8"/>
        </w:rPr>
      </w:pPr>
    </w:p>
    <w:p w14:paraId="007E7011" w14:textId="33670BDB" w:rsidR="00DF3A3C" w:rsidRPr="00DF3A3C" w:rsidRDefault="00DF3A3C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22"/>
          <w:szCs w:val="22"/>
        </w:rPr>
      </w:pPr>
      <w:r w:rsidRPr="00DF3A3C">
        <w:rPr>
          <w:rFonts w:ascii="Helvetica Neue" w:eastAsia="Times New Roman" w:hAnsi="Helvetica Neue" w:cs="Times New Roman"/>
          <w:i/>
          <w:color w:val="323A45"/>
          <w:sz w:val="22"/>
          <w:szCs w:val="22"/>
        </w:rPr>
        <w:t>(F) enables an individual to attain a secondary school diploma or its recognized equivalent, and at least 1 recognized postsecondary credential; and</w:t>
      </w:r>
    </w:p>
    <w:p w14:paraId="20E1FFBE" w14:textId="77777777" w:rsidR="00A76413" w:rsidRPr="00A76413" w:rsidRDefault="00A76413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8"/>
          <w:szCs w:val="8"/>
        </w:rPr>
      </w:pPr>
    </w:p>
    <w:p w14:paraId="0D9DF127" w14:textId="6569A4BE" w:rsidR="00DF3A3C" w:rsidRPr="00DF3A3C" w:rsidRDefault="00DF3A3C" w:rsidP="00DF3A3C">
      <w:pPr>
        <w:shd w:val="clear" w:color="auto" w:fill="FFFFFF"/>
        <w:rPr>
          <w:rFonts w:ascii="Helvetica Neue" w:eastAsia="Times New Roman" w:hAnsi="Helvetica Neue" w:cs="Times New Roman"/>
          <w:i/>
          <w:color w:val="323A45"/>
          <w:sz w:val="22"/>
          <w:szCs w:val="22"/>
        </w:rPr>
      </w:pPr>
      <w:r w:rsidRPr="00DF3A3C">
        <w:rPr>
          <w:rFonts w:ascii="Helvetica Neue" w:eastAsia="Times New Roman" w:hAnsi="Helvetica Neue" w:cs="Times New Roman"/>
          <w:i/>
          <w:color w:val="323A45"/>
          <w:sz w:val="22"/>
          <w:szCs w:val="22"/>
        </w:rPr>
        <w:t>(G) helps an individual enter or advance within a specific occupation or occupational cluster. </w:t>
      </w:r>
    </w:p>
    <w:p w14:paraId="721FF25D" w14:textId="1FDDD78C" w:rsidR="00805C83" w:rsidRDefault="00805C83" w:rsidP="00927B17">
      <w:pPr>
        <w:pStyle w:val="NoSpacing"/>
        <w:rPr>
          <w:i/>
        </w:rPr>
      </w:pPr>
    </w:p>
    <w:p w14:paraId="0A695D8E" w14:textId="21616699" w:rsidR="0011775B" w:rsidRDefault="0011775B" w:rsidP="00927B17">
      <w:pPr>
        <w:pStyle w:val="NoSpacing"/>
      </w:pPr>
      <w:r>
        <w:t>In the context of the California Adult Education Program (AEP), our team looked at a range of different pathway programs: &lt;not an exhaustive list&gt;</w:t>
      </w:r>
    </w:p>
    <w:p w14:paraId="1CA2CF7B" w14:textId="5535C23C" w:rsidR="0011775B" w:rsidRPr="0011775B" w:rsidRDefault="0011775B" w:rsidP="00927B17">
      <w:pPr>
        <w:pStyle w:val="NoSpacing"/>
      </w:pPr>
      <w:r>
        <w:t xml:space="preserve"> </w:t>
      </w:r>
    </w:p>
    <w:p w14:paraId="396690E6" w14:textId="77777777" w:rsidR="0076251F" w:rsidRDefault="0076251F" w:rsidP="0076251F">
      <w:pPr>
        <w:pStyle w:val="NoSpacing"/>
        <w:numPr>
          <w:ilvl w:val="0"/>
          <w:numId w:val="2"/>
        </w:numPr>
      </w:pPr>
      <w:r>
        <w:t>Pathways from adult school to community college CTE training (credit and/or noncredit)</w:t>
      </w:r>
    </w:p>
    <w:p w14:paraId="2ED19050" w14:textId="77777777" w:rsidR="0076251F" w:rsidRDefault="0076251F" w:rsidP="0076251F">
      <w:pPr>
        <w:pStyle w:val="NoSpacing"/>
      </w:pPr>
    </w:p>
    <w:p w14:paraId="389A0EDA" w14:textId="77777777" w:rsidR="0076251F" w:rsidRDefault="0076251F" w:rsidP="0076251F">
      <w:pPr>
        <w:pStyle w:val="NoSpacing"/>
        <w:numPr>
          <w:ilvl w:val="0"/>
          <w:numId w:val="2"/>
        </w:numPr>
      </w:pPr>
      <w:r>
        <w:t>Pathways from community college noncredit to credit CTE programs</w:t>
      </w:r>
    </w:p>
    <w:p w14:paraId="0938871B" w14:textId="77777777" w:rsidR="0076251F" w:rsidRDefault="0076251F" w:rsidP="0076251F">
      <w:pPr>
        <w:pStyle w:val="NoSpacing"/>
      </w:pPr>
    </w:p>
    <w:p w14:paraId="58A3DC57" w14:textId="77777777" w:rsidR="0076251F" w:rsidRDefault="0076251F" w:rsidP="0076251F">
      <w:pPr>
        <w:pStyle w:val="NoSpacing"/>
        <w:numPr>
          <w:ilvl w:val="0"/>
          <w:numId w:val="2"/>
        </w:numPr>
      </w:pPr>
      <w:r>
        <w:t>Pathways from adult school directly to employment</w:t>
      </w:r>
    </w:p>
    <w:p w14:paraId="2148E507" w14:textId="77777777" w:rsidR="0076251F" w:rsidRDefault="0076251F" w:rsidP="0076251F">
      <w:pPr>
        <w:pStyle w:val="NoSpacing"/>
      </w:pPr>
    </w:p>
    <w:p w14:paraId="0486F4D8" w14:textId="77777777" w:rsidR="0076251F" w:rsidRPr="00DD6DC8" w:rsidRDefault="0076251F" w:rsidP="0076251F">
      <w:pPr>
        <w:pStyle w:val="NoSpacing"/>
        <w:numPr>
          <w:ilvl w:val="0"/>
          <w:numId w:val="2"/>
        </w:numPr>
      </w:pPr>
      <w:r w:rsidRPr="00DD6DC8">
        <w:t>P</w:t>
      </w:r>
      <w:r>
        <w:t>athways from adult school</w:t>
      </w:r>
      <w:r w:rsidRPr="00DD6DC8">
        <w:t xml:space="preserve"> to workforce training (e.g., CBO based training providers; apprenticeship; other training that results in a recognized postsecondary credential – not</w:t>
      </w:r>
      <w:r>
        <w:t xml:space="preserve"> necessarily an academic award)</w:t>
      </w:r>
    </w:p>
    <w:p w14:paraId="486BB7E4" w14:textId="77777777" w:rsidR="0076251F" w:rsidRDefault="0076251F" w:rsidP="0076251F">
      <w:pPr>
        <w:pStyle w:val="NoSpacing"/>
      </w:pPr>
    </w:p>
    <w:p w14:paraId="677A9339" w14:textId="77777777" w:rsidR="0076251F" w:rsidRDefault="0076251F" w:rsidP="0076251F">
      <w:pPr>
        <w:pStyle w:val="NoSpacing"/>
        <w:numPr>
          <w:ilvl w:val="0"/>
          <w:numId w:val="2"/>
        </w:numPr>
      </w:pPr>
      <w:r>
        <w:t>Integrated Education and Training (IET) or “I-BEST” programs that link ABE/ESL/HSE or HS Completion with CTE training (adult school or community college).  Looking for specific examples of co-teaching that has worked well (including details of how funding is handled)</w:t>
      </w:r>
    </w:p>
    <w:p w14:paraId="646ED309" w14:textId="77777777" w:rsidR="0076251F" w:rsidRDefault="0076251F" w:rsidP="0076251F">
      <w:pPr>
        <w:pStyle w:val="NoSpacing"/>
      </w:pPr>
    </w:p>
    <w:p w14:paraId="0AA2FE9A" w14:textId="19FE80AE" w:rsidR="0076251F" w:rsidRDefault="0076251F" w:rsidP="0076251F">
      <w:pPr>
        <w:pStyle w:val="NoSpacing"/>
        <w:numPr>
          <w:ilvl w:val="0"/>
          <w:numId w:val="2"/>
        </w:numPr>
      </w:pPr>
      <w:r>
        <w:t xml:space="preserve">Pathways that utilize </w:t>
      </w:r>
      <w:r w:rsidR="0011775B">
        <w:t xml:space="preserve">community college </w:t>
      </w:r>
      <w:r>
        <w:t xml:space="preserve">“Enhanced Noncredit” </w:t>
      </w:r>
      <w:r w:rsidR="0011775B">
        <w:t xml:space="preserve">(CDCP) </w:t>
      </w:r>
      <w:r>
        <w:t>courses as a bridge from adult school to CTE training or as support courses while students are in CTE training</w:t>
      </w:r>
    </w:p>
    <w:p w14:paraId="2A0E16DD" w14:textId="77777777" w:rsidR="0076251F" w:rsidRDefault="0076251F" w:rsidP="0076251F">
      <w:pPr>
        <w:pStyle w:val="NoSpacing"/>
      </w:pPr>
    </w:p>
    <w:p w14:paraId="798FE99C" w14:textId="77777777" w:rsidR="0076251F" w:rsidRDefault="0076251F" w:rsidP="0076251F">
      <w:pPr>
        <w:pStyle w:val="NoSpacing"/>
        <w:numPr>
          <w:ilvl w:val="0"/>
          <w:numId w:val="2"/>
        </w:numPr>
      </w:pPr>
      <w:r>
        <w:t xml:space="preserve">Pathways from adult school ABE/ESL/HSE to </w:t>
      </w:r>
      <w:r w:rsidRPr="00332D59">
        <w:rPr>
          <w:u w:val="single"/>
        </w:rPr>
        <w:t>adult school-based</w:t>
      </w:r>
      <w:r>
        <w:t xml:space="preserve"> CTE training</w:t>
      </w:r>
    </w:p>
    <w:p w14:paraId="32CA09EF" w14:textId="77777777" w:rsidR="00927B17" w:rsidRDefault="00927B17" w:rsidP="00927B17">
      <w:pPr>
        <w:pStyle w:val="NoSpacing"/>
      </w:pPr>
    </w:p>
    <w:p w14:paraId="0BEBDFB5" w14:textId="77777777" w:rsidR="00927B17" w:rsidRPr="00A851C7" w:rsidRDefault="00927B17" w:rsidP="00927B17">
      <w:pPr>
        <w:pStyle w:val="NoSpacing"/>
        <w:rPr>
          <w:b/>
          <w:sz w:val="20"/>
          <w:szCs w:val="20"/>
        </w:rPr>
      </w:pPr>
      <w:r w:rsidRPr="00A851C7">
        <w:rPr>
          <w:b/>
          <w:sz w:val="20"/>
          <w:szCs w:val="20"/>
        </w:rPr>
        <w:t>Framework</w:t>
      </w:r>
    </w:p>
    <w:p w14:paraId="72F1D9F9" w14:textId="77777777" w:rsidR="00927B17" w:rsidRPr="002C4221" w:rsidRDefault="00927B17" w:rsidP="00927B17">
      <w:pPr>
        <w:pStyle w:val="NoSpacing"/>
        <w:rPr>
          <w:sz w:val="8"/>
          <w:szCs w:val="8"/>
        </w:rPr>
      </w:pPr>
    </w:p>
    <w:p w14:paraId="434420A4" w14:textId="1FCEE00F" w:rsidR="002C4221" w:rsidRDefault="005A04A7" w:rsidP="00927B17">
      <w:pPr>
        <w:pStyle w:val="NoSpacing"/>
      </w:pPr>
      <w:r>
        <w:t xml:space="preserve">In addressing such a broad area as career pathways, our Field Team sought out a framework through which we could focus our research and recommendations.  We agreed to utilize the breakdown contained in the </w:t>
      </w:r>
      <w:hyperlink r:id="rId5" w:history="1">
        <w:r w:rsidRPr="00C64750">
          <w:rPr>
            <w:rStyle w:val="Hyperlink"/>
          </w:rPr>
          <w:t xml:space="preserve">US Department of Labor, </w:t>
        </w:r>
        <w:r w:rsidR="00FB1CED" w:rsidRPr="00C64750">
          <w:rPr>
            <w:rStyle w:val="Hyperlink"/>
          </w:rPr>
          <w:t>“Career Pathways Toolkit</w:t>
        </w:r>
      </w:hyperlink>
      <w:r w:rsidR="00FB1CED">
        <w:t>”</w:t>
      </w:r>
    </w:p>
    <w:p w14:paraId="27A35342" w14:textId="77777777" w:rsidR="002570C1" w:rsidRDefault="002570C1" w:rsidP="00927B17">
      <w:pPr>
        <w:pStyle w:val="NoSpacing"/>
      </w:pPr>
    </w:p>
    <w:p w14:paraId="1855350B" w14:textId="17E09993" w:rsidR="00FB1CED" w:rsidRDefault="00FB1CED" w:rsidP="00927B17">
      <w:pPr>
        <w:pStyle w:val="NoSpacing"/>
      </w:pPr>
    </w:p>
    <w:p w14:paraId="70AA127F" w14:textId="6447B6D3" w:rsidR="002570C1" w:rsidRDefault="00FB1CED" w:rsidP="002570C1">
      <w:pPr>
        <w:pStyle w:val="NoSpacing"/>
        <w:jc w:val="center"/>
      </w:pPr>
      <w:r>
        <w:rPr>
          <w:noProof/>
        </w:rPr>
        <w:drawing>
          <wp:inline distT="0" distB="0" distL="0" distR="0" wp14:anchorId="10EF020F" wp14:editId="4EE28CFD">
            <wp:extent cx="2377440" cy="1758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x_key_element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799" cy="180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DC2B2" w14:textId="3FBDD53B" w:rsidR="00505DC1" w:rsidRPr="00505DC1" w:rsidRDefault="002570C1" w:rsidP="00505DC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>
        <w:t>Our Field Team divided into “Sub-Teams” to focus on the following Elements:</w:t>
      </w:r>
    </w:p>
    <w:p w14:paraId="01B8ADCD" w14:textId="2FF29BC8" w:rsidR="00505DC1" w:rsidRPr="00505DC1" w:rsidRDefault="00505DC1" w:rsidP="002570C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color w:val="333333"/>
          <w:sz w:val="22"/>
          <w:szCs w:val="22"/>
        </w:rPr>
      </w:pPr>
      <w:r w:rsidRPr="00505DC1">
        <w:rPr>
          <w:rFonts w:eastAsia="Times New Roman" w:cstheme="minorHAnsi"/>
          <w:color w:val="333333"/>
          <w:sz w:val="22"/>
          <w:szCs w:val="22"/>
        </w:rPr>
        <w:t xml:space="preserve">Element One: </w:t>
      </w:r>
      <w:r w:rsidR="002570C1" w:rsidRPr="00F2519F">
        <w:rPr>
          <w:rFonts w:eastAsia="Times New Roman" w:cstheme="minorHAnsi"/>
          <w:color w:val="333333"/>
          <w:sz w:val="22"/>
          <w:szCs w:val="22"/>
        </w:rPr>
        <w:tab/>
      </w:r>
      <w:r w:rsidRPr="00505DC1">
        <w:rPr>
          <w:rFonts w:eastAsia="Times New Roman" w:cstheme="minorHAnsi"/>
          <w:b/>
          <w:color w:val="333333"/>
          <w:sz w:val="22"/>
          <w:szCs w:val="22"/>
        </w:rPr>
        <w:t>Build Cross-Agency Partnerships</w:t>
      </w:r>
    </w:p>
    <w:p w14:paraId="24F03C42" w14:textId="3AD096CA" w:rsidR="00505DC1" w:rsidRPr="00505DC1" w:rsidRDefault="00505DC1" w:rsidP="002570C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333333"/>
          <w:sz w:val="22"/>
          <w:szCs w:val="22"/>
        </w:rPr>
      </w:pPr>
      <w:r w:rsidRPr="00505DC1">
        <w:rPr>
          <w:rFonts w:eastAsia="Times New Roman" w:cstheme="minorHAnsi"/>
          <w:color w:val="333333"/>
          <w:sz w:val="22"/>
          <w:szCs w:val="22"/>
        </w:rPr>
        <w:t xml:space="preserve">Element Two: </w:t>
      </w:r>
      <w:r w:rsidR="002570C1" w:rsidRPr="00F2519F">
        <w:rPr>
          <w:rFonts w:eastAsia="Times New Roman" w:cstheme="minorHAnsi"/>
          <w:color w:val="333333"/>
          <w:sz w:val="22"/>
          <w:szCs w:val="22"/>
        </w:rPr>
        <w:tab/>
      </w:r>
      <w:r w:rsidRPr="00505DC1">
        <w:rPr>
          <w:rFonts w:eastAsia="Times New Roman" w:cstheme="minorHAnsi"/>
          <w:b/>
          <w:color w:val="333333"/>
          <w:sz w:val="22"/>
          <w:szCs w:val="22"/>
        </w:rPr>
        <w:t>Identify Industry Sector and Engage Employers</w:t>
      </w:r>
    </w:p>
    <w:p w14:paraId="2F447EF4" w14:textId="05BF26D1" w:rsidR="00505DC1" w:rsidRPr="00505DC1" w:rsidRDefault="00505DC1" w:rsidP="002570C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color w:val="333333"/>
          <w:sz w:val="22"/>
          <w:szCs w:val="22"/>
        </w:rPr>
      </w:pPr>
      <w:r w:rsidRPr="00505DC1">
        <w:rPr>
          <w:rFonts w:eastAsia="Times New Roman" w:cstheme="minorHAnsi"/>
          <w:color w:val="333333"/>
          <w:sz w:val="22"/>
          <w:szCs w:val="22"/>
        </w:rPr>
        <w:t xml:space="preserve">Element Three: </w:t>
      </w:r>
      <w:r w:rsidRPr="00505DC1">
        <w:rPr>
          <w:rFonts w:eastAsia="Times New Roman" w:cstheme="minorHAnsi"/>
          <w:b/>
          <w:color w:val="333333"/>
          <w:sz w:val="22"/>
          <w:szCs w:val="22"/>
        </w:rPr>
        <w:t>Design Education and Training Programs</w:t>
      </w:r>
    </w:p>
    <w:p w14:paraId="71C7325A" w14:textId="76A9A7B4" w:rsidR="00505DC1" w:rsidRPr="00505DC1" w:rsidRDefault="00505DC1" w:rsidP="002570C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color w:val="333333"/>
          <w:sz w:val="22"/>
          <w:szCs w:val="22"/>
        </w:rPr>
      </w:pPr>
      <w:r w:rsidRPr="00505DC1">
        <w:rPr>
          <w:rFonts w:eastAsia="Times New Roman" w:cstheme="minorHAnsi"/>
          <w:color w:val="333333"/>
          <w:sz w:val="22"/>
          <w:szCs w:val="22"/>
        </w:rPr>
        <w:t xml:space="preserve">Element Four: </w:t>
      </w:r>
      <w:r w:rsidR="002570C1" w:rsidRPr="00F2519F">
        <w:rPr>
          <w:rFonts w:eastAsia="Times New Roman" w:cstheme="minorHAnsi"/>
          <w:color w:val="333333"/>
          <w:sz w:val="22"/>
          <w:szCs w:val="22"/>
        </w:rPr>
        <w:tab/>
      </w:r>
      <w:r w:rsidRPr="00505DC1">
        <w:rPr>
          <w:rFonts w:eastAsia="Times New Roman" w:cstheme="minorHAnsi"/>
          <w:b/>
          <w:color w:val="333333"/>
          <w:sz w:val="22"/>
          <w:szCs w:val="22"/>
        </w:rPr>
        <w:t>Identify Funding Needs and Sources</w:t>
      </w:r>
    </w:p>
    <w:p w14:paraId="01E38D20" w14:textId="6593A198" w:rsidR="00505DC1" w:rsidRPr="00505DC1" w:rsidRDefault="00505DC1" w:rsidP="002570C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color w:val="333333"/>
          <w:sz w:val="22"/>
          <w:szCs w:val="22"/>
        </w:rPr>
      </w:pPr>
      <w:r w:rsidRPr="00505DC1">
        <w:rPr>
          <w:rFonts w:eastAsia="Times New Roman" w:cstheme="minorHAnsi"/>
          <w:color w:val="333333"/>
          <w:sz w:val="22"/>
          <w:szCs w:val="22"/>
        </w:rPr>
        <w:lastRenderedPageBreak/>
        <w:t xml:space="preserve">Element Five: </w:t>
      </w:r>
      <w:r w:rsidR="002570C1" w:rsidRPr="00F2519F">
        <w:rPr>
          <w:rFonts w:eastAsia="Times New Roman" w:cstheme="minorHAnsi"/>
          <w:color w:val="333333"/>
          <w:sz w:val="22"/>
          <w:szCs w:val="22"/>
        </w:rPr>
        <w:tab/>
      </w:r>
      <w:r w:rsidRPr="00505DC1">
        <w:rPr>
          <w:rFonts w:eastAsia="Times New Roman" w:cstheme="minorHAnsi"/>
          <w:b/>
          <w:color w:val="333333"/>
          <w:sz w:val="22"/>
          <w:szCs w:val="22"/>
        </w:rPr>
        <w:t>Align Policies and Programs</w:t>
      </w:r>
    </w:p>
    <w:p w14:paraId="1CF89479" w14:textId="0764B5E9" w:rsidR="00712196" w:rsidRPr="00F2519F" w:rsidRDefault="00505DC1" w:rsidP="00712196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color w:val="333333"/>
          <w:sz w:val="22"/>
          <w:szCs w:val="22"/>
        </w:rPr>
      </w:pPr>
      <w:r w:rsidRPr="00505DC1">
        <w:rPr>
          <w:rFonts w:eastAsia="Times New Roman" w:cstheme="minorHAnsi"/>
          <w:color w:val="333333"/>
          <w:sz w:val="22"/>
          <w:szCs w:val="22"/>
        </w:rPr>
        <w:t xml:space="preserve">Element Six: </w:t>
      </w:r>
      <w:r w:rsidR="002570C1" w:rsidRPr="00F2519F">
        <w:rPr>
          <w:rFonts w:eastAsia="Times New Roman" w:cstheme="minorHAnsi"/>
          <w:color w:val="333333"/>
          <w:sz w:val="22"/>
          <w:szCs w:val="22"/>
        </w:rPr>
        <w:tab/>
      </w:r>
      <w:r w:rsidRPr="00505DC1">
        <w:rPr>
          <w:rFonts w:eastAsia="Times New Roman" w:cstheme="minorHAnsi"/>
          <w:b/>
          <w:color w:val="333333"/>
          <w:sz w:val="22"/>
          <w:szCs w:val="22"/>
        </w:rPr>
        <w:t>Measure System Change and Performance</w:t>
      </w:r>
    </w:p>
    <w:p w14:paraId="27A4FEBC" w14:textId="793D74C3" w:rsidR="00927B17" w:rsidRPr="00505DC1" w:rsidRDefault="00927B17" w:rsidP="00927B17">
      <w:pPr>
        <w:pStyle w:val="NoSpacing"/>
        <w:rPr>
          <w:b/>
          <w:sz w:val="20"/>
          <w:szCs w:val="20"/>
        </w:rPr>
      </w:pPr>
      <w:r w:rsidRPr="00505DC1">
        <w:rPr>
          <w:b/>
          <w:sz w:val="20"/>
          <w:szCs w:val="20"/>
        </w:rPr>
        <w:t>Format</w:t>
      </w:r>
    </w:p>
    <w:p w14:paraId="7FCD2CE3" w14:textId="1140CAA3" w:rsidR="00927B17" w:rsidRDefault="00927B17" w:rsidP="00927B17">
      <w:pPr>
        <w:pStyle w:val="NoSpacing"/>
      </w:pPr>
    </w:p>
    <w:p w14:paraId="7DAA9738" w14:textId="0AC8B64B" w:rsidR="00F2519F" w:rsidRDefault="00F2519F" w:rsidP="00927B17">
      <w:pPr>
        <w:pStyle w:val="NoSpacing"/>
      </w:pPr>
      <w:r>
        <w:t>In order to present the findings, promising practices, and recommendations by each Sub-Team</w:t>
      </w:r>
      <w:r w:rsidR="00A73D11">
        <w:t xml:space="preserve"> in a concise manner</w:t>
      </w:r>
      <w:r>
        <w:t>, we have utilized a common template for a “Summary” for each of the six elements.</w:t>
      </w:r>
      <w:r w:rsidR="000D412D">
        <w:t xml:space="preserve">  </w:t>
      </w:r>
      <w:r w:rsidR="003E4AB8">
        <w:t>Each Summary is organized in the following format:</w:t>
      </w:r>
    </w:p>
    <w:p w14:paraId="46207410" w14:textId="661171E3" w:rsidR="003E4AB8" w:rsidRDefault="003E4AB8" w:rsidP="00927B17">
      <w:pPr>
        <w:pStyle w:val="NoSpacing"/>
      </w:pPr>
    </w:p>
    <w:p w14:paraId="464AF6C5" w14:textId="41790384" w:rsidR="003E4AB8" w:rsidRDefault="003E4AB8" w:rsidP="004A726E">
      <w:pPr>
        <w:pStyle w:val="NoSpacing"/>
        <w:numPr>
          <w:ilvl w:val="0"/>
          <w:numId w:val="4"/>
        </w:numPr>
      </w:pPr>
      <w:r>
        <w:t>Principle</w:t>
      </w:r>
    </w:p>
    <w:p w14:paraId="5A88BE8F" w14:textId="77777777" w:rsidR="004A726E" w:rsidRPr="004A726E" w:rsidRDefault="004A726E" w:rsidP="004A726E">
      <w:pPr>
        <w:pStyle w:val="NoSpacing"/>
        <w:ind w:left="720"/>
        <w:rPr>
          <w:sz w:val="12"/>
          <w:szCs w:val="12"/>
        </w:rPr>
      </w:pPr>
    </w:p>
    <w:p w14:paraId="08BFB372" w14:textId="4B036B76" w:rsidR="003E4AB8" w:rsidRDefault="003E4AB8" w:rsidP="004A726E">
      <w:pPr>
        <w:pStyle w:val="NoSpacing"/>
        <w:numPr>
          <w:ilvl w:val="0"/>
          <w:numId w:val="4"/>
        </w:numPr>
      </w:pPr>
      <w:r>
        <w:t>Goals</w:t>
      </w:r>
    </w:p>
    <w:p w14:paraId="5D3E5CD7" w14:textId="77777777" w:rsidR="004A726E" w:rsidRPr="004A726E" w:rsidRDefault="004A726E" w:rsidP="004A726E">
      <w:pPr>
        <w:pStyle w:val="NoSpacing"/>
        <w:rPr>
          <w:sz w:val="12"/>
          <w:szCs w:val="12"/>
        </w:rPr>
      </w:pPr>
    </w:p>
    <w:p w14:paraId="6E8FD9C1" w14:textId="118DA0D8" w:rsidR="003E4AB8" w:rsidRDefault="003E4AB8" w:rsidP="004A726E">
      <w:pPr>
        <w:pStyle w:val="NoSpacing"/>
        <w:numPr>
          <w:ilvl w:val="0"/>
          <w:numId w:val="4"/>
        </w:numPr>
      </w:pPr>
      <w:r>
        <w:t>Strategies</w:t>
      </w:r>
    </w:p>
    <w:p w14:paraId="01603CBD" w14:textId="77777777" w:rsidR="004A726E" w:rsidRPr="004A726E" w:rsidRDefault="004A726E" w:rsidP="004A726E">
      <w:pPr>
        <w:pStyle w:val="NoSpacing"/>
        <w:rPr>
          <w:sz w:val="12"/>
          <w:szCs w:val="12"/>
        </w:rPr>
      </w:pPr>
    </w:p>
    <w:p w14:paraId="23E7C01D" w14:textId="3C8BA236" w:rsidR="003E4AB8" w:rsidRDefault="003E4AB8" w:rsidP="004A726E">
      <w:pPr>
        <w:pStyle w:val="NoSpacing"/>
        <w:numPr>
          <w:ilvl w:val="0"/>
          <w:numId w:val="4"/>
        </w:numPr>
      </w:pPr>
      <w:r>
        <w:t>Promising Practices</w:t>
      </w:r>
      <w:r w:rsidR="004A726E">
        <w:t xml:space="preserve">.  Each link to a website or document </w:t>
      </w:r>
      <w:r w:rsidR="0079391B">
        <w:t xml:space="preserve">is introduced by </w:t>
      </w:r>
      <w:r w:rsidR="004A726E">
        <w:t xml:space="preserve">a brief explanation of </w:t>
      </w:r>
      <w:r w:rsidR="0079391B">
        <w:t>what’s to be found at that link.</w:t>
      </w:r>
    </w:p>
    <w:p w14:paraId="7D400250" w14:textId="57C277B5" w:rsidR="00927B17" w:rsidRDefault="00927B17" w:rsidP="00927B17">
      <w:pPr>
        <w:pStyle w:val="NoSpacing"/>
      </w:pPr>
    </w:p>
    <w:sectPr w:rsidR="00927B17" w:rsidSect="00547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2874"/>
    <w:multiLevelType w:val="hybridMultilevel"/>
    <w:tmpl w:val="5516B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81D9E"/>
    <w:multiLevelType w:val="multilevel"/>
    <w:tmpl w:val="D096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1154B"/>
    <w:multiLevelType w:val="hybridMultilevel"/>
    <w:tmpl w:val="CC2E7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26B19"/>
    <w:multiLevelType w:val="hybridMultilevel"/>
    <w:tmpl w:val="FBA0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17"/>
    <w:rsid w:val="000D412D"/>
    <w:rsid w:val="001003AF"/>
    <w:rsid w:val="0011775B"/>
    <w:rsid w:val="002570C1"/>
    <w:rsid w:val="002C4221"/>
    <w:rsid w:val="00306B88"/>
    <w:rsid w:val="00390ABB"/>
    <w:rsid w:val="003E4AB8"/>
    <w:rsid w:val="004A726E"/>
    <w:rsid w:val="00505DC1"/>
    <w:rsid w:val="00547FF0"/>
    <w:rsid w:val="005A04A7"/>
    <w:rsid w:val="00624220"/>
    <w:rsid w:val="00712196"/>
    <w:rsid w:val="0076251F"/>
    <w:rsid w:val="0079391B"/>
    <w:rsid w:val="00805C83"/>
    <w:rsid w:val="00812688"/>
    <w:rsid w:val="008A6654"/>
    <w:rsid w:val="008F5D16"/>
    <w:rsid w:val="009013C4"/>
    <w:rsid w:val="00927B17"/>
    <w:rsid w:val="009A5D3D"/>
    <w:rsid w:val="00A51DDF"/>
    <w:rsid w:val="00A73D11"/>
    <w:rsid w:val="00A76413"/>
    <w:rsid w:val="00A851C7"/>
    <w:rsid w:val="00C64750"/>
    <w:rsid w:val="00D15DDE"/>
    <w:rsid w:val="00DF3A3C"/>
    <w:rsid w:val="00E83386"/>
    <w:rsid w:val="00EB6B0C"/>
    <w:rsid w:val="00ED46F2"/>
    <w:rsid w:val="00EF1C95"/>
    <w:rsid w:val="00F2519F"/>
    <w:rsid w:val="00F4329D"/>
    <w:rsid w:val="00F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EE384"/>
  <w15:chartTrackingRefBased/>
  <w15:docId w15:val="{59B71182-F88E-FE46-BE46-1AA8F8E9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B17"/>
  </w:style>
  <w:style w:type="paragraph" w:styleId="ListParagraph">
    <w:name w:val="List Paragraph"/>
    <w:basedOn w:val="Normal"/>
    <w:uiPriority w:val="34"/>
    <w:qFormat/>
    <w:rsid w:val="00D15D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careerpathways.workforcegps.org/resources/2016/10/20/10/11/Enhanced_Career_Pathways_Toolkit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F20E4-51D8-43CA-B5BD-10F8EF3853E3}"/>
</file>

<file path=customXml/itemProps2.xml><?xml version="1.0" encoding="utf-8"?>
<ds:datastoreItem xmlns:ds="http://schemas.openxmlformats.org/officeDocument/2006/customXml" ds:itemID="{5139F6DE-E3DA-4E13-8F92-D3C817AE61C7}"/>
</file>

<file path=customXml/itemProps3.xml><?xml version="1.0" encoding="utf-8"?>
<ds:datastoreItem xmlns:ds="http://schemas.openxmlformats.org/officeDocument/2006/customXml" ds:itemID="{A331151F-42DF-46F9-9B40-219397A994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simon</dc:creator>
  <cp:keywords/>
  <dc:description/>
  <cp:lastModifiedBy>peter simon</cp:lastModifiedBy>
  <cp:revision>24</cp:revision>
  <dcterms:created xsi:type="dcterms:W3CDTF">2019-03-20T16:33:00Z</dcterms:created>
  <dcterms:modified xsi:type="dcterms:W3CDTF">2019-03-22T16:17:00Z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