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931" w:rsidRDefault="00A74C26">
      <w:pPr>
        <w:rPr>
          <w:rFonts w:ascii="Calibri" w:eastAsia="Calibri" w:hAnsi="Calibri" w:cs="Calibri"/>
          <w:color w:val="000000"/>
        </w:rPr>
      </w:pPr>
      <w:bookmarkStart w:id="0" w:name="_GoBack"/>
      <w:bookmarkEnd w:id="0"/>
      <w:r>
        <w:rPr>
          <w:rFonts w:ascii="Calibri" w:eastAsia="Calibri" w:hAnsi="Calibri" w:cs="Calibri"/>
          <w:color w:val="000000"/>
        </w:rPr>
        <w:t xml:space="preserve">The purpose of this worksheet is to help career pathway practitioners think systemically about the partners and resources that can be used to support career pathway programming – at the institution level and the individual participant level.  Each </w:t>
      </w:r>
      <w:hyperlink r:id="rId8" w:history="1">
        <w:r w:rsidRPr="00A74C26">
          <w:rPr>
            <w:rStyle w:val="Hyperlink"/>
            <w:rFonts w:ascii="Calibri" w:eastAsia="Calibri" w:hAnsi="Calibri" w:cs="Calibri"/>
          </w:rPr>
          <w:t>funding stream</w:t>
        </w:r>
      </w:hyperlink>
      <w:r>
        <w:rPr>
          <w:rFonts w:ascii="Calibri" w:eastAsia="Calibri" w:hAnsi="Calibri" w:cs="Calibri"/>
          <w:color w:val="000000"/>
        </w:rPr>
        <w:t xml:space="preserve"> has eligibility criteria and definitions for use, but all can support career pathway work.  </w:t>
      </w:r>
    </w:p>
    <w:p w:rsidR="007640D6" w:rsidRDefault="007640D6">
      <w:r>
        <w:rPr>
          <w:rFonts w:ascii="Calibri" w:eastAsia="Calibri" w:hAnsi="Calibri" w:cs="Calibri"/>
          <w:color w:val="000000"/>
        </w:rPr>
        <w:t xml:space="preserve">In the first column below is a list of sample key tasks in designing, </w:t>
      </w:r>
      <w:r>
        <w:rPr>
          <w:rFonts w:ascii="Calibri" w:eastAsia="Calibri" w:hAnsi="Calibri" w:cs="Calibri"/>
        </w:rPr>
        <w:t>implementing, and sustaining career pathway programs. Modify these tasks to fit your local needs and then work with partners to identify potential funding sources for these tasks from core Workforce Innovation and Opportunity Act (WIOA) partners, one-stop partners, and other federal, state and philanthropic programs with a career pathway focus.</w:t>
      </w:r>
    </w:p>
    <w:p w:rsidR="007640D6" w:rsidRDefault="007640D6" w:rsidP="006362A6">
      <w:pPr>
        <w:jc w:val="center"/>
        <w:rPr>
          <w:b/>
          <w:color w:val="365F91" w:themeColor="accent1" w:themeShade="BF"/>
          <w:sz w:val="28"/>
        </w:rPr>
      </w:pPr>
      <w:r w:rsidRPr="007640D6">
        <w:rPr>
          <w:b/>
          <w:color w:val="365F91" w:themeColor="accent1" w:themeShade="BF"/>
          <w:sz w:val="28"/>
        </w:rPr>
        <w:t>Major Funding Streams that can Support Key Tasks in Building Career Pathway Programs</w:t>
      </w:r>
    </w:p>
    <w:p w:rsidR="0072033C" w:rsidRPr="007640D6" w:rsidRDefault="0072033C" w:rsidP="00893291">
      <w:pPr>
        <w:pBdr>
          <w:top w:val="single" w:sz="4" w:space="1" w:color="auto"/>
          <w:left w:val="single" w:sz="4" w:space="4" w:color="auto"/>
          <w:bottom w:val="single" w:sz="4" w:space="1" w:color="auto"/>
          <w:right w:val="single" w:sz="4" w:space="0" w:color="auto"/>
        </w:pBdr>
        <w:rPr>
          <w:b/>
          <w:color w:val="365F91" w:themeColor="accent1" w:themeShade="BF"/>
        </w:rPr>
      </w:pPr>
      <w:r w:rsidRPr="00BB3DBB">
        <w:rPr>
          <w:b/>
          <w:color w:val="365F91" w:themeColor="accent1" w:themeShade="BF"/>
          <w:sz w:val="24"/>
        </w:rPr>
        <w:t>TARGET POPULATION:</w:t>
      </w:r>
    </w:p>
    <w:p w:rsidR="0072033C" w:rsidRPr="007640D6" w:rsidRDefault="0072033C" w:rsidP="00893291">
      <w:pPr>
        <w:pBdr>
          <w:top w:val="single" w:sz="4" w:space="1" w:color="auto"/>
          <w:left w:val="single" w:sz="4" w:space="4" w:color="auto"/>
          <w:bottom w:val="single" w:sz="4" w:space="1" w:color="auto"/>
          <w:right w:val="single" w:sz="4" w:space="0" w:color="auto"/>
        </w:pBdr>
        <w:tabs>
          <w:tab w:val="left" w:pos="18000"/>
        </w:tabs>
        <w:rPr>
          <w:b/>
          <w:color w:val="365F91" w:themeColor="accent1" w:themeShade="BF"/>
          <w:sz w:val="28"/>
        </w:rPr>
      </w:pPr>
      <w:r>
        <w:t>(e.g., public benefit recipients, adult education learners, out-of-school youth)</w:t>
      </w:r>
    </w:p>
    <w:tbl>
      <w:tblPr>
        <w:tblStyle w:val="TableGrid"/>
        <w:tblW w:w="0" w:type="auto"/>
        <w:tblLook w:val="04A0" w:firstRow="1" w:lastRow="0" w:firstColumn="1" w:lastColumn="0" w:noHBand="0" w:noVBand="1"/>
      </w:tblPr>
      <w:tblGrid>
        <w:gridCol w:w="3663"/>
        <w:gridCol w:w="3663"/>
        <w:gridCol w:w="3663"/>
        <w:gridCol w:w="3663"/>
        <w:gridCol w:w="3666"/>
      </w:tblGrid>
      <w:tr w:rsidR="007640D6" w:rsidRPr="002B2E8D" w:rsidTr="0072033C">
        <w:trPr>
          <w:trHeight w:val="665"/>
          <w:tblHeader/>
        </w:trPr>
        <w:tc>
          <w:tcPr>
            <w:tcW w:w="3663" w:type="dxa"/>
            <w:shd w:val="clear" w:color="auto" w:fill="B8CCE4" w:themeFill="accent1" w:themeFillTint="66"/>
          </w:tcPr>
          <w:p w:rsidR="007640D6" w:rsidRDefault="007640D6" w:rsidP="002B2E8D">
            <w:pPr>
              <w:jc w:val="center"/>
              <w:rPr>
                <w:b/>
                <w:sz w:val="24"/>
              </w:rPr>
            </w:pPr>
            <w:r w:rsidRPr="002B2E8D">
              <w:rPr>
                <w:b/>
                <w:sz w:val="24"/>
              </w:rPr>
              <w:t>KEY TASKS</w:t>
            </w:r>
          </w:p>
          <w:p w:rsidR="00365BF2" w:rsidRPr="00893291" w:rsidRDefault="00365BF2" w:rsidP="000923D2">
            <w:pPr>
              <w:jc w:val="center"/>
              <w:rPr>
                <w:sz w:val="24"/>
              </w:rPr>
            </w:pPr>
            <w:r w:rsidRPr="00893291">
              <w:rPr>
                <w:sz w:val="24"/>
              </w:rPr>
              <w:t>(</w:t>
            </w:r>
            <w:r w:rsidR="000923D2" w:rsidRPr="00893291">
              <w:rPr>
                <w:sz w:val="24"/>
              </w:rPr>
              <w:t xml:space="preserve">add/edit/delete to customize </w:t>
            </w:r>
            <w:r w:rsidRPr="00893291">
              <w:rPr>
                <w:sz w:val="24"/>
              </w:rPr>
              <w:t>for your site</w:t>
            </w:r>
            <w:r w:rsidR="000923D2">
              <w:rPr>
                <w:sz w:val="24"/>
              </w:rPr>
              <w:t xml:space="preserve">; </w:t>
            </w:r>
            <w:r w:rsidR="000923D2" w:rsidRPr="00893291">
              <w:rPr>
                <w:i/>
                <w:sz w:val="24"/>
              </w:rPr>
              <w:t>italics indicate tasks with high impact</w:t>
            </w:r>
            <w:r w:rsidRPr="00893291">
              <w:rPr>
                <w:sz w:val="24"/>
              </w:rPr>
              <w:t>)</w:t>
            </w:r>
          </w:p>
        </w:tc>
        <w:tc>
          <w:tcPr>
            <w:tcW w:w="3663" w:type="dxa"/>
            <w:shd w:val="clear" w:color="auto" w:fill="B8CCE4" w:themeFill="accent1" w:themeFillTint="66"/>
          </w:tcPr>
          <w:p w:rsidR="007640D6" w:rsidRPr="002B2E8D" w:rsidRDefault="007640D6" w:rsidP="002B2E8D">
            <w:pPr>
              <w:jc w:val="center"/>
              <w:rPr>
                <w:b/>
                <w:sz w:val="24"/>
              </w:rPr>
            </w:pPr>
            <w:r w:rsidRPr="002B2E8D">
              <w:rPr>
                <w:b/>
                <w:sz w:val="24"/>
              </w:rPr>
              <w:t>CORE WIOA PROGRAMS</w:t>
            </w:r>
          </w:p>
        </w:tc>
        <w:tc>
          <w:tcPr>
            <w:tcW w:w="3663" w:type="dxa"/>
            <w:shd w:val="clear" w:color="auto" w:fill="B8CCE4" w:themeFill="accent1" w:themeFillTint="66"/>
          </w:tcPr>
          <w:p w:rsidR="007640D6" w:rsidRPr="002B2E8D" w:rsidRDefault="007640D6" w:rsidP="002B2E8D">
            <w:pPr>
              <w:jc w:val="center"/>
              <w:rPr>
                <w:b/>
                <w:sz w:val="24"/>
              </w:rPr>
            </w:pPr>
            <w:r w:rsidRPr="002B2E8D">
              <w:rPr>
                <w:b/>
                <w:sz w:val="24"/>
              </w:rPr>
              <w:t>FEDERAL PROGRAMS WITH CAREER PATHWAY FOCUS</w:t>
            </w:r>
          </w:p>
        </w:tc>
        <w:tc>
          <w:tcPr>
            <w:tcW w:w="3663" w:type="dxa"/>
            <w:shd w:val="clear" w:color="auto" w:fill="B8CCE4" w:themeFill="accent1" w:themeFillTint="66"/>
          </w:tcPr>
          <w:p w:rsidR="007640D6" w:rsidRPr="002B2E8D" w:rsidRDefault="007640D6" w:rsidP="002B2E8D">
            <w:pPr>
              <w:jc w:val="center"/>
              <w:rPr>
                <w:b/>
                <w:sz w:val="24"/>
              </w:rPr>
            </w:pPr>
            <w:r w:rsidRPr="002B2E8D">
              <w:rPr>
                <w:b/>
                <w:sz w:val="24"/>
              </w:rPr>
              <w:t>STATE PROGRAMS WITH CAREER PATHWAY FOCUS</w:t>
            </w:r>
          </w:p>
        </w:tc>
        <w:tc>
          <w:tcPr>
            <w:tcW w:w="3666" w:type="dxa"/>
            <w:shd w:val="clear" w:color="auto" w:fill="B8CCE4" w:themeFill="accent1" w:themeFillTint="66"/>
          </w:tcPr>
          <w:p w:rsidR="007640D6" w:rsidRPr="002B2E8D" w:rsidRDefault="007640D6" w:rsidP="002B2E8D">
            <w:pPr>
              <w:jc w:val="center"/>
              <w:rPr>
                <w:b/>
                <w:sz w:val="24"/>
              </w:rPr>
            </w:pPr>
            <w:r w:rsidRPr="002B2E8D">
              <w:rPr>
                <w:b/>
                <w:sz w:val="24"/>
              </w:rPr>
              <w:t>PHILANTHROPIC</w:t>
            </w:r>
            <w:r w:rsidR="00DE7947">
              <w:rPr>
                <w:b/>
                <w:sz w:val="24"/>
              </w:rPr>
              <w:t xml:space="preserve"> &amp; CIVIC </w:t>
            </w:r>
            <w:r w:rsidRPr="002B2E8D">
              <w:rPr>
                <w:b/>
                <w:sz w:val="24"/>
              </w:rPr>
              <w:t xml:space="preserve"> INITIATIVES</w:t>
            </w:r>
          </w:p>
        </w:tc>
      </w:tr>
      <w:tr w:rsidR="007640D6" w:rsidTr="0072033C">
        <w:trPr>
          <w:trHeight w:val="559"/>
        </w:trPr>
        <w:tc>
          <w:tcPr>
            <w:tcW w:w="3663" w:type="dxa"/>
          </w:tcPr>
          <w:p w:rsidR="007640D6" w:rsidRDefault="007640D6"/>
        </w:tc>
        <w:tc>
          <w:tcPr>
            <w:tcW w:w="3663" w:type="dxa"/>
          </w:tcPr>
          <w:p w:rsidR="007640D6" w:rsidRDefault="007640D6" w:rsidP="00BD55FE">
            <w:pPr>
              <w:pStyle w:val="ListParagraph"/>
              <w:numPr>
                <w:ilvl w:val="0"/>
                <w:numId w:val="2"/>
              </w:numPr>
            </w:pPr>
            <w:r>
              <w:t>WIOA I: Adult, Youth, Dislocated Worker</w:t>
            </w:r>
          </w:p>
          <w:p w:rsidR="007640D6" w:rsidRDefault="007640D6" w:rsidP="00BD55FE">
            <w:pPr>
              <w:pStyle w:val="ListParagraph"/>
              <w:numPr>
                <w:ilvl w:val="0"/>
                <w:numId w:val="2"/>
              </w:numPr>
            </w:pPr>
            <w:r>
              <w:t>WIOA II: Adult Education</w:t>
            </w:r>
          </w:p>
          <w:p w:rsidR="007640D6" w:rsidRDefault="007640D6" w:rsidP="00BD55FE">
            <w:pPr>
              <w:pStyle w:val="ListParagraph"/>
              <w:numPr>
                <w:ilvl w:val="0"/>
                <w:numId w:val="2"/>
              </w:numPr>
            </w:pPr>
            <w:r>
              <w:t xml:space="preserve">WIOA III: Wagner </w:t>
            </w:r>
            <w:proofErr w:type="spellStart"/>
            <w:r>
              <w:t>Peyser</w:t>
            </w:r>
            <w:proofErr w:type="spellEnd"/>
          </w:p>
          <w:p w:rsidR="007640D6" w:rsidRDefault="007640D6" w:rsidP="00BD55FE">
            <w:pPr>
              <w:pStyle w:val="ListParagraph"/>
              <w:numPr>
                <w:ilvl w:val="0"/>
                <w:numId w:val="2"/>
              </w:numPr>
            </w:pPr>
            <w:r>
              <w:t>WIOA IV: Vocational Rehabilitation Services</w:t>
            </w:r>
          </w:p>
        </w:tc>
        <w:tc>
          <w:tcPr>
            <w:tcW w:w="3663" w:type="dxa"/>
          </w:tcPr>
          <w:p w:rsidR="007640D6" w:rsidRDefault="007640D6" w:rsidP="00BD55FE">
            <w:pPr>
              <w:pStyle w:val="ListParagraph"/>
              <w:numPr>
                <w:ilvl w:val="0"/>
                <w:numId w:val="1"/>
              </w:numPr>
              <w:ind w:left="324"/>
            </w:pPr>
            <w:r>
              <w:t>Carl D Perkins Career &amp; Technical Education</w:t>
            </w:r>
          </w:p>
          <w:p w:rsidR="007640D6" w:rsidRDefault="007640D6" w:rsidP="00BD55FE">
            <w:pPr>
              <w:pStyle w:val="ListParagraph"/>
              <w:numPr>
                <w:ilvl w:val="0"/>
                <w:numId w:val="1"/>
              </w:numPr>
              <w:ind w:left="324"/>
            </w:pPr>
            <w:r>
              <w:t>Temporary Assistance to Needy Families (TANF) Employment Services</w:t>
            </w:r>
            <w:r w:rsidR="000F2797">
              <w:t xml:space="preserve"> (W2)</w:t>
            </w:r>
          </w:p>
          <w:p w:rsidR="007640D6" w:rsidRDefault="007640D6" w:rsidP="00BD55FE">
            <w:pPr>
              <w:pStyle w:val="ListParagraph"/>
              <w:numPr>
                <w:ilvl w:val="0"/>
                <w:numId w:val="1"/>
              </w:numPr>
              <w:ind w:left="324"/>
            </w:pPr>
            <w:r>
              <w:t>Trade Adjustment Act</w:t>
            </w:r>
          </w:p>
          <w:p w:rsidR="007640D6" w:rsidRDefault="007640D6" w:rsidP="00BD55FE">
            <w:pPr>
              <w:pStyle w:val="ListParagraph"/>
              <w:numPr>
                <w:ilvl w:val="0"/>
                <w:numId w:val="1"/>
              </w:numPr>
              <w:ind w:left="324"/>
            </w:pPr>
            <w:r>
              <w:t>Ability to Benefit - Pell Grants</w:t>
            </w:r>
          </w:p>
          <w:p w:rsidR="007640D6" w:rsidRDefault="007640D6" w:rsidP="00BD55FE">
            <w:pPr>
              <w:pStyle w:val="ListParagraph"/>
              <w:numPr>
                <w:ilvl w:val="0"/>
                <w:numId w:val="1"/>
              </w:numPr>
              <w:ind w:left="324"/>
            </w:pPr>
            <w:r>
              <w:t>Pre-Apprenticeship and Registered Apprenticeship</w:t>
            </w:r>
          </w:p>
          <w:p w:rsidR="007640D6" w:rsidRDefault="007640D6" w:rsidP="00BD55FE">
            <w:pPr>
              <w:pStyle w:val="ListParagraph"/>
              <w:numPr>
                <w:ilvl w:val="0"/>
                <w:numId w:val="1"/>
              </w:numPr>
              <w:ind w:left="324"/>
            </w:pPr>
            <w:r>
              <w:t>Supplemental Nutrition Assistance Program Employment and Training (SNAP E&amp;T)</w:t>
            </w:r>
          </w:p>
        </w:tc>
        <w:tc>
          <w:tcPr>
            <w:tcW w:w="3663" w:type="dxa"/>
          </w:tcPr>
          <w:p w:rsidR="000F2797" w:rsidRDefault="00593542" w:rsidP="000F2797">
            <w:pPr>
              <w:pStyle w:val="ListParagraph"/>
              <w:numPr>
                <w:ilvl w:val="0"/>
                <w:numId w:val="3"/>
              </w:numPr>
              <w:ind w:left="351"/>
            </w:pPr>
            <w:r>
              <w:t>Adult Education Program</w:t>
            </w:r>
          </w:p>
          <w:p w:rsidR="00593542" w:rsidRDefault="00593542" w:rsidP="000F2797">
            <w:pPr>
              <w:pStyle w:val="ListParagraph"/>
              <w:numPr>
                <w:ilvl w:val="0"/>
                <w:numId w:val="3"/>
              </w:numPr>
              <w:ind w:left="351"/>
            </w:pPr>
            <w:r>
              <w:t>Breaking Barriers to Employment</w:t>
            </w:r>
          </w:p>
          <w:p w:rsidR="00593542" w:rsidRDefault="00593542" w:rsidP="000F2797">
            <w:pPr>
              <w:pStyle w:val="ListParagraph"/>
              <w:numPr>
                <w:ilvl w:val="0"/>
                <w:numId w:val="3"/>
              </w:numPr>
              <w:ind w:left="351"/>
            </w:pPr>
            <w:r>
              <w:t>California Apprenticeship Initiative</w:t>
            </w:r>
          </w:p>
          <w:p w:rsidR="00593542" w:rsidRDefault="00593542" w:rsidP="000F2797">
            <w:pPr>
              <w:pStyle w:val="ListParagraph"/>
              <w:numPr>
                <w:ilvl w:val="0"/>
                <w:numId w:val="3"/>
              </w:numPr>
              <w:ind w:left="351"/>
            </w:pPr>
            <w:r>
              <w:t>California Guided Pathways</w:t>
            </w:r>
          </w:p>
          <w:p w:rsidR="00593542" w:rsidRDefault="00593542" w:rsidP="000F2797">
            <w:pPr>
              <w:pStyle w:val="ListParagraph"/>
              <w:numPr>
                <w:ilvl w:val="0"/>
                <w:numId w:val="3"/>
              </w:numPr>
              <w:ind w:left="351"/>
            </w:pPr>
            <w:r>
              <w:t>ELL Workforce Navigator</w:t>
            </w:r>
          </w:p>
          <w:p w:rsidR="00593542" w:rsidRDefault="00593542" w:rsidP="000F2797">
            <w:pPr>
              <w:pStyle w:val="ListParagraph"/>
              <w:numPr>
                <w:ilvl w:val="0"/>
                <w:numId w:val="3"/>
              </w:numPr>
              <w:ind w:left="351"/>
            </w:pPr>
            <w:r>
              <w:t>Employment Training Panel</w:t>
            </w:r>
          </w:p>
          <w:p w:rsidR="00593542" w:rsidRDefault="00593542" w:rsidP="00593542">
            <w:pPr>
              <w:pStyle w:val="ListParagraph"/>
              <w:numPr>
                <w:ilvl w:val="0"/>
                <w:numId w:val="3"/>
              </w:numPr>
              <w:ind w:left="351"/>
            </w:pPr>
            <w:r>
              <w:t>Strong Workforce</w:t>
            </w:r>
          </w:p>
          <w:p w:rsidR="00593542" w:rsidRDefault="00593542" w:rsidP="00593542">
            <w:r>
              <w:t xml:space="preserve">[see </w:t>
            </w:r>
            <w:hyperlink r:id="rId9" w:history="1">
              <w:r w:rsidRPr="00593542">
                <w:rPr>
                  <w:rStyle w:val="Hyperlink"/>
                </w:rPr>
                <w:t>CAcareerpathways.clasp.org</w:t>
              </w:r>
            </w:hyperlink>
            <w:r>
              <w:t xml:space="preserve"> for more]</w:t>
            </w:r>
          </w:p>
          <w:p w:rsidR="000F2797" w:rsidRDefault="000F2797" w:rsidP="000F2797">
            <w:pPr>
              <w:ind w:left="351"/>
            </w:pPr>
          </w:p>
        </w:tc>
        <w:tc>
          <w:tcPr>
            <w:tcW w:w="3666" w:type="dxa"/>
          </w:tcPr>
          <w:p w:rsidR="007640D6" w:rsidRDefault="007640D6"/>
        </w:tc>
      </w:tr>
      <w:tr w:rsidR="006362A6" w:rsidTr="007F7A7C">
        <w:trPr>
          <w:trHeight w:val="592"/>
        </w:trPr>
        <w:tc>
          <w:tcPr>
            <w:tcW w:w="18318" w:type="dxa"/>
            <w:gridSpan w:val="5"/>
            <w:shd w:val="clear" w:color="auto" w:fill="DBE5F1" w:themeFill="accent1" w:themeFillTint="33"/>
            <w:vAlign w:val="center"/>
          </w:tcPr>
          <w:p w:rsidR="006362A6" w:rsidRPr="006362A6" w:rsidRDefault="006362A6">
            <w:pPr>
              <w:rPr>
                <w:sz w:val="28"/>
              </w:rPr>
            </w:pPr>
            <w:r w:rsidRPr="00B541C2">
              <w:rPr>
                <w:b/>
                <w:sz w:val="32"/>
              </w:rPr>
              <w:t>BUILD PARTNERSHIPS, CLARIFY ROLES &amp; RESPONSIBILITIES</w:t>
            </w:r>
          </w:p>
        </w:tc>
      </w:tr>
      <w:tr w:rsidR="00CE3729" w:rsidTr="0072033C">
        <w:trPr>
          <w:trHeight w:val="592"/>
        </w:trPr>
        <w:tc>
          <w:tcPr>
            <w:tcW w:w="3663" w:type="dxa"/>
            <w:shd w:val="clear" w:color="auto" w:fill="FFFFFF" w:themeFill="background1"/>
          </w:tcPr>
          <w:p w:rsidR="00CE3729" w:rsidRDefault="00CE3729" w:rsidP="00365BF2">
            <w:r>
              <w:t xml:space="preserve">Engage public/private partners </w:t>
            </w:r>
          </w:p>
        </w:tc>
        <w:tc>
          <w:tcPr>
            <w:tcW w:w="3663" w:type="dxa"/>
            <w:shd w:val="clear" w:color="auto" w:fill="FFFFFF" w:themeFill="background1"/>
          </w:tcPr>
          <w:p w:rsidR="00CE3729" w:rsidRDefault="00CE3729"/>
        </w:tc>
        <w:tc>
          <w:tcPr>
            <w:tcW w:w="3663" w:type="dxa"/>
            <w:shd w:val="clear" w:color="auto" w:fill="FFFFFF" w:themeFill="background1"/>
          </w:tcPr>
          <w:p w:rsidR="00CE3729" w:rsidRDefault="00CE3729"/>
        </w:tc>
        <w:tc>
          <w:tcPr>
            <w:tcW w:w="3663" w:type="dxa"/>
            <w:shd w:val="clear" w:color="auto" w:fill="FFFFFF" w:themeFill="background1"/>
          </w:tcPr>
          <w:p w:rsidR="00CE3729" w:rsidRDefault="00CE3729"/>
        </w:tc>
        <w:tc>
          <w:tcPr>
            <w:tcW w:w="3666" w:type="dxa"/>
            <w:shd w:val="clear" w:color="auto" w:fill="FFFFFF" w:themeFill="background1"/>
          </w:tcPr>
          <w:p w:rsidR="00CE3729" w:rsidRDefault="00CE3729"/>
        </w:tc>
      </w:tr>
      <w:tr w:rsidR="00CE3729" w:rsidTr="0072033C">
        <w:trPr>
          <w:trHeight w:val="592"/>
        </w:trPr>
        <w:tc>
          <w:tcPr>
            <w:tcW w:w="3663" w:type="dxa"/>
            <w:shd w:val="clear" w:color="auto" w:fill="FFFFFF" w:themeFill="background1"/>
          </w:tcPr>
          <w:p w:rsidR="00CE3729" w:rsidRDefault="00365BF2" w:rsidP="00365BF2">
            <w:r>
              <w:lastRenderedPageBreak/>
              <w:t xml:space="preserve">Develop work plan and/or Memorandum of Understanding </w:t>
            </w:r>
          </w:p>
        </w:tc>
        <w:tc>
          <w:tcPr>
            <w:tcW w:w="3663" w:type="dxa"/>
            <w:shd w:val="clear" w:color="auto" w:fill="FFFFFF" w:themeFill="background1"/>
          </w:tcPr>
          <w:p w:rsidR="00CE3729" w:rsidRDefault="00CE3729"/>
        </w:tc>
        <w:tc>
          <w:tcPr>
            <w:tcW w:w="3663" w:type="dxa"/>
            <w:shd w:val="clear" w:color="auto" w:fill="FFFFFF" w:themeFill="background1"/>
          </w:tcPr>
          <w:p w:rsidR="00CE3729" w:rsidRDefault="00CE3729"/>
        </w:tc>
        <w:tc>
          <w:tcPr>
            <w:tcW w:w="3663" w:type="dxa"/>
            <w:shd w:val="clear" w:color="auto" w:fill="FFFFFF" w:themeFill="background1"/>
          </w:tcPr>
          <w:p w:rsidR="00CE3729" w:rsidRDefault="00CE3729"/>
        </w:tc>
        <w:tc>
          <w:tcPr>
            <w:tcW w:w="3666" w:type="dxa"/>
            <w:shd w:val="clear" w:color="auto" w:fill="FFFFFF" w:themeFill="background1"/>
          </w:tcPr>
          <w:p w:rsidR="00CE3729" w:rsidRDefault="00CE3729"/>
        </w:tc>
      </w:tr>
      <w:tr w:rsidR="00CE3729" w:rsidTr="0072033C">
        <w:trPr>
          <w:trHeight w:val="592"/>
        </w:trPr>
        <w:tc>
          <w:tcPr>
            <w:tcW w:w="3663" w:type="dxa"/>
            <w:shd w:val="clear" w:color="auto" w:fill="FFFFFF" w:themeFill="background1"/>
          </w:tcPr>
          <w:p w:rsidR="00CE3729" w:rsidRPr="00593542" w:rsidRDefault="00365BF2" w:rsidP="00365BF2">
            <w:r w:rsidRPr="00593542">
              <w:t xml:space="preserve">Align policies and practices </w:t>
            </w:r>
            <w:r w:rsidR="000923D2" w:rsidRPr="00593542">
              <w:t xml:space="preserve">(e.g., common intake, assessments) </w:t>
            </w:r>
            <w:r w:rsidRPr="00593542">
              <w:t>in support of career pathway program</w:t>
            </w:r>
          </w:p>
        </w:tc>
        <w:tc>
          <w:tcPr>
            <w:tcW w:w="3663" w:type="dxa"/>
            <w:shd w:val="clear" w:color="auto" w:fill="FFFFFF" w:themeFill="background1"/>
          </w:tcPr>
          <w:p w:rsidR="00CE3729" w:rsidRDefault="00CE3729"/>
        </w:tc>
        <w:tc>
          <w:tcPr>
            <w:tcW w:w="3663" w:type="dxa"/>
            <w:shd w:val="clear" w:color="auto" w:fill="FFFFFF" w:themeFill="background1"/>
          </w:tcPr>
          <w:p w:rsidR="00CE3729" w:rsidRDefault="00CE3729"/>
        </w:tc>
        <w:tc>
          <w:tcPr>
            <w:tcW w:w="3663" w:type="dxa"/>
            <w:shd w:val="clear" w:color="auto" w:fill="FFFFFF" w:themeFill="background1"/>
          </w:tcPr>
          <w:p w:rsidR="00CE3729" w:rsidRDefault="00CE3729"/>
        </w:tc>
        <w:tc>
          <w:tcPr>
            <w:tcW w:w="3666" w:type="dxa"/>
            <w:shd w:val="clear" w:color="auto" w:fill="FFFFFF" w:themeFill="background1"/>
          </w:tcPr>
          <w:p w:rsidR="00CE3729" w:rsidRDefault="00CE3729"/>
        </w:tc>
      </w:tr>
      <w:tr w:rsidR="00CE3729" w:rsidTr="0072033C">
        <w:trPr>
          <w:trHeight w:val="592"/>
        </w:trPr>
        <w:tc>
          <w:tcPr>
            <w:tcW w:w="3663" w:type="dxa"/>
            <w:shd w:val="clear" w:color="auto" w:fill="FFFFFF" w:themeFill="background1"/>
          </w:tcPr>
          <w:p w:rsidR="00CE3729" w:rsidRDefault="000923D2">
            <w:r>
              <w:t>[insert other tasks]</w:t>
            </w:r>
          </w:p>
        </w:tc>
        <w:tc>
          <w:tcPr>
            <w:tcW w:w="3663" w:type="dxa"/>
            <w:shd w:val="clear" w:color="auto" w:fill="FFFFFF" w:themeFill="background1"/>
          </w:tcPr>
          <w:p w:rsidR="00CE3729" w:rsidRDefault="00CE3729"/>
        </w:tc>
        <w:tc>
          <w:tcPr>
            <w:tcW w:w="3663" w:type="dxa"/>
            <w:shd w:val="clear" w:color="auto" w:fill="FFFFFF" w:themeFill="background1"/>
          </w:tcPr>
          <w:p w:rsidR="00CE3729" w:rsidRDefault="00CE3729"/>
        </w:tc>
        <w:tc>
          <w:tcPr>
            <w:tcW w:w="3663" w:type="dxa"/>
            <w:shd w:val="clear" w:color="auto" w:fill="FFFFFF" w:themeFill="background1"/>
          </w:tcPr>
          <w:p w:rsidR="00CE3729" w:rsidRDefault="00CE3729"/>
        </w:tc>
        <w:tc>
          <w:tcPr>
            <w:tcW w:w="3666" w:type="dxa"/>
            <w:shd w:val="clear" w:color="auto" w:fill="FFFFFF" w:themeFill="background1"/>
          </w:tcPr>
          <w:p w:rsidR="00CE3729" w:rsidRDefault="00CE3729"/>
        </w:tc>
      </w:tr>
      <w:tr w:rsidR="006362A6" w:rsidTr="00B73B07">
        <w:trPr>
          <w:trHeight w:val="592"/>
        </w:trPr>
        <w:tc>
          <w:tcPr>
            <w:tcW w:w="18318" w:type="dxa"/>
            <w:gridSpan w:val="5"/>
            <w:shd w:val="clear" w:color="auto" w:fill="DBE5F1" w:themeFill="accent1" w:themeFillTint="33"/>
            <w:vAlign w:val="center"/>
          </w:tcPr>
          <w:p w:rsidR="006362A6" w:rsidRPr="006362A6" w:rsidRDefault="00B541C2">
            <w:pPr>
              <w:rPr>
                <w:sz w:val="28"/>
              </w:rPr>
            </w:pPr>
            <w:r>
              <w:rPr>
                <w:b/>
                <w:sz w:val="32"/>
              </w:rPr>
              <w:t xml:space="preserve">DEVELOP </w:t>
            </w:r>
            <w:r w:rsidR="006362A6" w:rsidRPr="00B541C2">
              <w:rPr>
                <w:b/>
                <w:sz w:val="32"/>
              </w:rPr>
              <w:t>EMPLOYER AND INDUSTRY ENGAGEMENT</w:t>
            </w:r>
          </w:p>
        </w:tc>
      </w:tr>
      <w:tr w:rsidR="00774B1E" w:rsidTr="0072033C">
        <w:trPr>
          <w:trHeight w:val="592"/>
        </w:trPr>
        <w:tc>
          <w:tcPr>
            <w:tcW w:w="3663" w:type="dxa"/>
          </w:tcPr>
          <w:p w:rsidR="00774B1E" w:rsidRDefault="006328A5" w:rsidP="006328A5">
            <w:r>
              <w:t>Initiate or support industry sector partnerships</w:t>
            </w:r>
            <w:r w:rsidR="00365BF2">
              <w:t xml:space="preserve"> with dedicated staff</w:t>
            </w:r>
          </w:p>
        </w:tc>
        <w:tc>
          <w:tcPr>
            <w:tcW w:w="3663" w:type="dxa"/>
          </w:tcPr>
          <w:p w:rsidR="00774B1E" w:rsidRDefault="00774B1E"/>
        </w:tc>
        <w:tc>
          <w:tcPr>
            <w:tcW w:w="3663" w:type="dxa"/>
          </w:tcPr>
          <w:p w:rsidR="00774B1E" w:rsidRDefault="00774B1E"/>
        </w:tc>
        <w:tc>
          <w:tcPr>
            <w:tcW w:w="3663" w:type="dxa"/>
          </w:tcPr>
          <w:p w:rsidR="00774B1E" w:rsidRDefault="00774B1E"/>
        </w:tc>
        <w:tc>
          <w:tcPr>
            <w:tcW w:w="3666" w:type="dxa"/>
          </w:tcPr>
          <w:p w:rsidR="00774B1E" w:rsidRDefault="00774B1E"/>
        </w:tc>
      </w:tr>
      <w:tr w:rsidR="006328A5" w:rsidTr="0072033C">
        <w:trPr>
          <w:trHeight w:val="592"/>
        </w:trPr>
        <w:tc>
          <w:tcPr>
            <w:tcW w:w="3663" w:type="dxa"/>
          </w:tcPr>
          <w:p w:rsidR="006328A5" w:rsidRDefault="006328A5" w:rsidP="006328A5">
            <w:r>
              <w:t>Identify and evaluate how well credentials meet criteria that signal labor market value</w:t>
            </w:r>
          </w:p>
        </w:tc>
        <w:tc>
          <w:tcPr>
            <w:tcW w:w="3663" w:type="dxa"/>
          </w:tcPr>
          <w:p w:rsidR="006328A5" w:rsidRDefault="006328A5"/>
        </w:tc>
        <w:tc>
          <w:tcPr>
            <w:tcW w:w="3663" w:type="dxa"/>
          </w:tcPr>
          <w:p w:rsidR="006328A5" w:rsidRDefault="006328A5"/>
          <w:p w:rsidR="006362A6" w:rsidRDefault="006362A6"/>
          <w:p w:rsidR="006362A6" w:rsidRDefault="006362A6"/>
        </w:tc>
        <w:tc>
          <w:tcPr>
            <w:tcW w:w="3663" w:type="dxa"/>
          </w:tcPr>
          <w:p w:rsidR="006328A5" w:rsidRDefault="006328A5"/>
        </w:tc>
        <w:tc>
          <w:tcPr>
            <w:tcW w:w="3666" w:type="dxa"/>
          </w:tcPr>
          <w:p w:rsidR="006328A5" w:rsidRDefault="006328A5"/>
        </w:tc>
      </w:tr>
      <w:tr w:rsidR="006328A5" w:rsidTr="0072033C">
        <w:trPr>
          <w:trHeight w:val="592"/>
        </w:trPr>
        <w:tc>
          <w:tcPr>
            <w:tcW w:w="3663" w:type="dxa"/>
          </w:tcPr>
          <w:p w:rsidR="006328A5" w:rsidRDefault="006328A5" w:rsidP="006328A5">
            <w:r>
              <w:t>Create hands-on learning opportunities and or earn/learn opportunities</w:t>
            </w:r>
          </w:p>
        </w:tc>
        <w:tc>
          <w:tcPr>
            <w:tcW w:w="3663" w:type="dxa"/>
          </w:tcPr>
          <w:p w:rsidR="006328A5" w:rsidRDefault="006328A5"/>
        </w:tc>
        <w:tc>
          <w:tcPr>
            <w:tcW w:w="3663" w:type="dxa"/>
          </w:tcPr>
          <w:p w:rsidR="006328A5" w:rsidRDefault="006328A5"/>
        </w:tc>
        <w:tc>
          <w:tcPr>
            <w:tcW w:w="3663" w:type="dxa"/>
          </w:tcPr>
          <w:p w:rsidR="006328A5" w:rsidRDefault="006328A5"/>
        </w:tc>
        <w:tc>
          <w:tcPr>
            <w:tcW w:w="3666" w:type="dxa"/>
          </w:tcPr>
          <w:p w:rsidR="006328A5" w:rsidRDefault="006328A5"/>
        </w:tc>
      </w:tr>
      <w:tr w:rsidR="006328A5" w:rsidTr="0072033C">
        <w:trPr>
          <w:trHeight w:val="592"/>
        </w:trPr>
        <w:tc>
          <w:tcPr>
            <w:tcW w:w="3663" w:type="dxa"/>
          </w:tcPr>
          <w:p w:rsidR="006328A5" w:rsidRPr="00593542" w:rsidRDefault="006328A5" w:rsidP="006328A5">
            <w:r w:rsidRPr="00593542">
              <w:t>Value credentials – credentials are clearly stated in job postings, used as selection factors for interviews or job offers, and result in higher pay for credential earners</w:t>
            </w:r>
          </w:p>
        </w:tc>
        <w:tc>
          <w:tcPr>
            <w:tcW w:w="3663" w:type="dxa"/>
          </w:tcPr>
          <w:p w:rsidR="006328A5" w:rsidRDefault="006328A5"/>
        </w:tc>
        <w:tc>
          <w:tcPr>
            <w:tcW w:w="3663" w:type="dxa"/>
          </w:tcPr>
          <w:p w:rsidR="006328A5" w:rsidRDefault="006328A5"/>
        </w:tc>
        <w:tc>
          <w:tcPr>
            <w:tcW w:w="3663" w:type="dxa"/>
          </w:tcPr>
          <w:p w:rsidR="006328A5" w:rsidRDefault="006328A5"/>
        </w:tc>
        <w:tc>
          <w:tcPr>
            <w:tcW w:w="3666" w:type="dxa"/>
          </w:tcPr>
          <w:p w:rsidR="006328A5" w:rsidRDefault="006328A5"/>
        </w:tc>
      </w:tr>
      <w:tr w:rsidR="00593542" w:rsidTr="0072033C">
        <w:trPr>
          <w:trHeight w:val="592"/>
        </w:trPr>
        <w:tc>
          <w:tcPr>
            <w:tcW w:w="3663" w:type="dxa"/>
          </w:tcPr>
          <w:p w:rsidR="00593542" w:rsidRPr="00593542" w:rsidRDefault="00593542" w:rsidP="006328A5">
            <w:r>
              <w:t>[insert other tasks]</w:t>
            </w:r>
          </w:p>
        </w:tc>
        <w:tc>
          <w:tcPr>
            <w:tcW w:w="3663" w:type="dxa"/>
          </w:tcPr>
          <w:p w:rsidR="00593542" w:rsidRDefault="00593542"/>
        </w:tc>
        <w:tc>
          <w:tcPr>
            <w:tcW w:w="3663" w:type="dxa"/>
          </w:tcPr>
          <w:p w:rsidR="00593542" w:rsidRDefault="00593542"/>
        </w:tc>
        <w:tc>
          <w:tcPr>
            <w:tcW w:w="3663" w:type="dxa"/>
          </w:tcPr>
          <w:p w:rsidR="00593542" w:rsidRDefault="00593542"/>
        </w:tc>
        <w:tc>
          <w:tcPr>
            <w:tcW w:w="3666" w:type="dxa"/>
          </w:tcPr>
          <w:p w:rsidR="00593542" w:rsidRDefault="00593542"/>
        </w:tc>
      </w:tr>
      <w:tr w:rsidR="006362A6" w:rsidTr="008902DB">
        <w:trPr>
          <w:trHeight w:val="592"/>
        </w:trPr>
        <w:tc>
          <w:tcPr>
            <w:tcW w:w="18318" w:type="dxa"/>
            <w:gridSpan w:val="5"/>
            <w:shd w:val="clear" w:color="auto" w:fill="DBE5F1" w:themeFill="accent1" w:themeFillTint="33"/>
            <w:vAlign w:val="center"/>
          </w:tcPr>
          <w:p w:rsidR="006362A6" w:rsidRPr="006362A6" w:rsidRDefault="006362A6">
            <w:pPr>
              <w:rPr>
                <w:sz w:val="28"/>
              </w:rPr>
            </w:pPr>
            <w:r w:rsidRPr="00B541C2">
              <w:rPr>
                <w:b/>
                <w:sz w:val="32"/>
              </w:rPr>
              <w:t>DESIGN &amp; DELIVER EDUCATION and TRAINING PROGRAMS</w:t>
            </w:r>
          </w:p>
        </w:tc>
      </w:tr>
      <w:tr w:rsidR="00774B1E" w:rsidTr="0072033C">
        <w:trPr>
          <w:trHeight w:val="592"/>
        </w:trPr>
        <w:tc>
          <w:tcPr>
            <w:tcW w:w="3663" w:type="dxa"/>
          </w:tcPr>
          <w:p w:rsidR="00774B1E" w:rsidRDefault="00365BF2" w:rsidP="00365BF2">
            <w:r>
              <w:t xml:space="preserve">Define, with employers, the skills/courses/credentials leading to certificates, diplomas, degrees with </w:t>
            </w:r>
            <w:r>
              <w:lastRenderedPageBreak/>
              <w:t>relevant employment opportunities at each level</w:t>
            </w:r>
          </w:p>
        </w:tc>
        <w:tc>
          <w:tcPr>
            <w:tcW w:w="3663" w:type="dxa"/>
          </w:tcPr>
          <w:p w:rsidR="00774B1E" w:rsidRDefault="00774B1E"/>
        </w:tc>
        <w:tc>
          <w:tcPr>
            <w:tcW w:w="3663" w:type="dxa"/>
          </w:tcPr>
          <w:p w:rsidR="00774B1E" w:rsidRDefault="00774B1E"/>
        </w:tc>
        <w:tc>
          <w:tcPr>
            <w:tcW w:w="3663" w:type="dxa"/>
          </w:tcPr>
          <w:p w:rsidR="00774B1E" w:rsidRDefault="00774B1E"/>
        </w:tc>
        <w:tc>
          <w:tcPr>
            <w:tcW w:w="3666" w:type="dxa"/>
          </w:tcPr>
          <w:p w:rsidR="00774B1E" w:rsidRDefault="00774B1E"/>
        </w:tc>
      </w:tr>
      <w:tr w:rsidR="00365BF2" w:rsidTr="0072033C">
        <w:trPr>
          <w:trHeight w:val="592"/>
        </w:trPr>
        <w:tc>
          <w:tcPr>
            <w:tcW w:w="3663" w:type="dxa"/>
          </w:tcPr>
          <w:p w:rsidR="00365BF2" w:rsidRPr="00893291" w:rsidRDefault="00365BF2" w:rsidP="00365BF2">
            <w:pPr>
              <w:rPr>
                <w:i/>
              </w:rPr>
            </w:pPr>
            <w:r w:rsidRPr="00893291">
              <w:rPr>
                <w:i/>
              </w:rPr>
              <w:t>Develop or modify programs to ensure they include embedded skills and credentials in identified certificates, diplomas, degrees</w:t>
            </w:r>
          </w:p>
        </w:tc>
        <w:tc>
          <w:tcPr>
            <w:tcW w:w="3663" w:type="dxa"/>
          </w:tcPr>
          <w:p w:rsidR="00365BF2" w:rsidRDefault="00365BF2"/>
        </w:tc>
        <w:tc>
          <w:tcPr>
            <w:tcW w:w="3663" w:type="dxa"/>
          </w:tcPr>
          <w:p w:rsidR="00365BF2" w:rsidRDefault="00365BF2"/>
        </w:tc>
        <w:tc>
          <w:tcPr>
            <w:tcW w:w="3663" w:type="dxa"/>
          </w:tcPr>
          <w:p w:rsidR="00365BF2" w:rsidRDefault="00365BF2"/>
        </w:tc>
        <w:tc>
          <w:tcPr>
            <w:tcW w:w="3666" w:type="dxa"/>
          </w:tcPr>
          <w:p w:rsidR="00365BF2" w:rsidRDefault="00365BF2"/>
        </w:tc>
      </w:tr>
      <w:tr w:rsidR="00365BF2" w:rsidTr="0072033C">
        <w:trPr>
          <w:trHeight w:val="592"/>
        </w:trPr>
        <w:tc>
          <w:tcPr>
            <w:tcW w:w="3663" w:type="dxa"/>
          </w:tcPr>
          <w:p w:rsidR="00365BF2" w:rsidRDefault="00365BF2">
            <w:r>
              <w:t>Embed work experience, work-based learning</w:t>
            </w:r>
          </w:p>
        </w:tc>
        <w:tc>
          <w:tcPr>
            <w:tcW w:w="3663" w:type="dxa"/>
          </w:tcPr>
          <w:p w:rsidR="00365BF2" w:rsidRDefault="00365BF2"/>
        </w:tc>
        <w:tc>
          <w:tcPr>
            <w:tcW w:w="3663" w:type="dxa"/>
          </w:tcPr>
          <w:p w:rsidR="00365BF2" w:rsidRDefault="00365BF2"/>
        </w:tc>
        <w:tc>
          <w:tcPr>
            <w:tcW w:w="3663" w:type="dxa"/>
          </w:tcPr>
          <w:p w:rsidR="00365BF2" w:rsidRDefault="00365BF2"/>
        </w:tc>
        <w:tc>
          <w:tcPr>
            <w:tcW w:w="3666" w:type="dxa"/>
          </w:tcPr>
          <w:p w:rsidR="00365BF2" w:rsidRDefault="00365BF2"/>
        </w:tc>
      </w:tr>
      <w:tr w:rsidR="00365BF2" w:rsidTr="0072033C">
        <w:trPr>
          <w:trHeight w:val="592"/>
        </w:trPr>
        <w:tc>
          <w:tcPr>
            <w:tcW w:w="3663" w:type="dxa"/>
          </w:tcPr>
          <w:p w:rsidR="00365BF2" w:rsidRPr="00893291" w:rsidRDefault="00365BF2">
            <w:pPr>
              <w:rPr>
                <w:i/>
              </w:rPr>
            </w:pPr>
            <w:r w:rsidRPr="00893291">
              <w:rPr>
                <w:i/>
              </w:rPr>
              <w:t>Implement integrated, contextualized, accelerated learning strategies</w:t>
            </w:r>
          </w:p>
        </w:tc>
        <w:tc>
          <w:tcPr>
            <w:tcW w:w="3663" w:type="dxa"/>
          </w:tcPr>
          <w:p w:rsidR="00365BF2" w:rsidRDefault="00365BF2"/>
        </w:tc>
        <w:tc>
          <w:tcPr>
            <w:tcW w:w="3663" w:type="dxa"/>
          </w:tcPr>
          <w:p w:rsidR="00365BF2" w:rsidRDefault="00365BF2"/>
        </w:tc>
        <w:tc>
          <w:tcPr>
            <w:tcW w:w="3663" w:type="dxa"/>
          </w:tcPr>
          <w:p w:rsidR="00365BF2" w:rsidRDefault="00365BF2"/>
        </w:tc>
        <w:tc>
          <w:tcPr>
            <w:tcW w:w="3666" w:type="dxa"/>
          </w:tcPr>
          <w:p w:rsidR="00365BF2" w:rsidRDefault="00365BF2"/>
        </w:tc>
      </w:tr>
      <w:tr w:rsidR="00365BF2" w:rsidTr="0072033C">
        <w:trPr>
          <w:trHeight w:val="592"/>
        </w:trPr>
        <w:tc>
          <w:tcPr>
            <w:tcW w:w="3663" w:type="dxa"/>
          </w:tcPr>
          <w:p w:rsidR="00365BF2" w:rsidRDefault="00365BF2">
            <w:r>
              <w:t>Provide flexible delivery options</w:t>
            </w:r>
          </w:p>
        </w:tc>
        <w:tc>
          <w:tcPr>
            <w:tcW w:w="3663" w:type="dxa"/>
          </w:tcPr>
          <w:p w:rsidR="00365BF2" w:rsidRDefault="00365BF2"/>
        </w:tc>
        <w:tc>
          <w:tcPr>
            <w:tcW w:w="3663" w:type="dxa"/>
          </w:tcPr>
          <w:p w:rsidR="00365BF2" w:rsidRDefault="00365BF2"/>
        </w:tc>
        <w:tc>
          <w:tcPr>
            <w:tcW w:w="3663" w:type="dxa"/>
          </w:tcPr>
          <w:p w:rsidR="00365BF2" w:rsidRDefault="00365BF2"/>
        </w:tc>
        <w:tc>
          <w:tcPr>
            <w:tcW w:w="3666" w:type="dxa"/>
          </w:tcPr>
          <w:p w:rsidR="00365BF2" w:rsidRDefault="00365BF2"/>
        </w:tc>
      </w:tr>
      <w:tr w:rsidR="00893291" w:rsidTr="0072033C">
        <w:trPr>
          <w:trHeight w:val="592"/>
        </w:trPr>
        <w:tc>
          <w:tcPr>
            <w:tcW w:w="3663" w:type="dxa"/>
          </w:tcPr>
          <w:p w:rsidR="00893291" w:rsidRDefault="00593542">
            <w:r>
              <w:t>[insert other tasks]</w:t>
            </w:r>
          </w:p>
        </w:tc>
        <w:tc>
          <w:tcPr>
            <w:tcW w:w="3663" w:type="dxa"/>
          </w:tcPr>
          <w:p w:rsidR="00893291" w:rsidRDefault="00893291"/>
        </w:tc>
        <w:tc>
          <w:tcPr>
            <w:tcW w:w="3663" w:type="dxa"/>
          </w:tcPr>
          <w:p w:rsidR="00893291" w:rsidRDefault="00893291"/>
        </w:tc>
        <w:tc>
          <w:tcPr>
            <w:tcW w:w="3663" w:type="dxa"/>
          </w:tcPr>
          <w:p w:rsidR="00893291" w:rsidRDefault="00893291"/>
        </w:tc>
        <w:tc>
          <w:tcPr>
            <w:tcW w:w="3666" w:type="dxa"/>
          </w:tcPr>
          <w:p w:rsidR="00893291" w:rsidRDefault="00893291"/>
        </w:tc>
      </w:tr>
      <w:tr w:rsidR="00ED2A8C" w:rsidTr="00ED2A8C">
        <w:trPr>
          <w:trHeight w:val="592"/>
        </w:trPr>
        <w:tc>
          <w:tcPr>
            <w:tcW w:w="18318" w:type="dxa"/>
            <w:gridSpan w:val="5"/>
            <w:shd w:val="clear" w:color="auto" w:fill="DBE5F1" w:themeFill="accent1" w:themeFillTint="33"/>
            <w:vAlign w:val="center"/>
          </w:tcPr>
          <w:p w:rsidR="00ED2A8C" w:rsidRPr="006362A6" w:rsidRDefault="00ED2A8C" w:rsidP="006362A6">
            <w:pPr>
              <w:rPr>
                <w:sz w:val="32"/>
              </w:rPr>
            </w:pPr>
            <w:r w:rsidRPr="006362A6">
              <w:rPr>
                <w:b/>
                <w:sz w:val="32"/>
              </w:rPr>
              <w:t>PROVIDE SUPPORT SERVICES &amp; EMPLOYMENT SERVICES</w:t>
            </w:r>
          </w:p>
        </w:tc>
      </w:tr>
      <w:tr w:rsidR="00774B1E" w:rsidTr="0072033C">
        <w:trPr>
          <w:trHeight w:val="592"/>
        </w:trPr>
        <w:tc>
          <w:tcPr>
            <w:tcW w:w="3663" w:type="dxa"/>
          </w:tcPr>
          <w:p w:rsidR="00774B1E" w:rsidRPr="00593542" w:rsidRDefault="0072033C" w:rsidP="000923D2">
            <w:r w:rsidRPr="00593542">
              <w:t>Provide gap fill tuition costs, fees</w:t>
            </w:r>
          </w:p>
        </w:tc>
        <w:tc>
          <w:tcPr>
            <w:tcW w:w="3663" w:type="dxa"/>
          </w:tcPr>
          <w:p w:rsidR="00774B1E" w:rsidRDefault="00774B1E"/>
        </w:tc>
        <w:tc>
          <w:tcPr>
            <w:tcW w:w="3663" w:type="dxa"/>
          </w:tcPr>
          <w:p w:rsidR="00774B1E" w:rsidRDefault="00774B1E"/>
        </w:tc>
        <w:tc>
          <w:tcPr>
            <w:tcW w:w="3663" w:type="dxa"/>
          </w:tcPr>
          <w:p w:rsidR="00774B1E" w:rsidRDefault="00774B1E"/>
        </w:tc>
        <w:tc>
          <w:tcPr>
            <w:tcW w:w="3666" w:type="dxa"/>
          </w:tcPr>
          <w:p w:rsidR="00774B1E" w:rsidRDefault="00774B1E"/>
        </w:tc>
      </w:tr>
      <w:tr w:rsidR="0072033C" w:rsidTr="0072033C">
        <w:trPr>
          <w:trHeight w:val="592"/>
        </w:trPr>
        <w:tc>
          <w:tcPr>
            <w:tcW w:w="3663" w:type="dxa"/>
          </w:tcPr>
          <w:p w:rsidR="0072033C" w:rsidRPr="00593542" w:rsidRDefault="0072033C" w:rsidP="000923D2">
            <w:r w:rsidRPr="00593542">
              <w:t>Provide career navigation</w:t>
            </w:r>
          </w:p>
        </w:tc>
        <w:tc>
          <w:tcPr>
            <w:tcW w:w="3663" w:type="dxa"/>
          </w:tcPr>
          <w:p w:rsidR="0072033C" w:rsidRDefault="0072033C"/>
        </w:tc>
        <w:tc>
          <w:tcPr>
            <w:tcW w:w="3663" w:type="dxa"/>
          </w:tcPr>
          <w:p w:rsidR="0072033C" w:rsidRDefault="0072033C"/>
        </w:tc>
        <w:tc>
          <w:tcPr>
            <w:tcW w:w="3663" w:type="dxa"/>
          </w:tcPr>
          <w:p w:rsidR="0072033C" w:rsidRDefault="0072033C"/>
        </w:tc>
        <w:tc>
          <w:tcPr>
            <w:tcW w:w="3666" w:type="dxa"/>
          </w:tcPr>
          <w:p w:rsidR="0072033C" w:rsidRDefault="0072033C"/>
        </w:tc>
      </w:tr>
      <w:tr w:rsidR="0072033C" w:rsidTr="0072033C">
        <w:trPr>
          <w:trHeight w:val="592"/>
        </w:trPr>
        <w:tc>
          <w:tcPr>
            <w:tcW w:w="3663" w:type="dxa"/>
          </w:tcPr>
          <w:p w:rsidR="0072033C" w:rsidRPr="00593542" w:rsidRDefault="0072033C">
            <w:r w:rsidRPr="00593542">
              <w:t>Provide direct services (e.g., childcare, transportation, expungement, learning disability screening)</w:t>
            </w:r>
          </w:p>
        </w:tc>
        <w:tc>
          <w:tcPr>
            <w:tcW w:w="3663" w:type="dxa"/>
          </w:tcPr>
          <w:p w:rsidR="0072033C" w:rsidRDefault="0072033C"/>
        </w:tc>
        <w:tc>
          <w:tcPr>
            <w:tcW w:w="3663" w:type="dxa"/>
          </w:tcPr>
          <w:p w:rsidR="0072033C" w:rsidRDefault="0072033C"/>
        </w:tc>
        <w:tc>
          <w:tcPr>
            <w:tcW w:w="3663" w:type="dxa"/>
          </w:tcPr>
          <w:p w:rsidR="0072033C" w:rsidRDefault="0072033C"/>
        </w:tc>
        <w:tc>
          <w:tcPr>
            <w:tcW w:w="3666" w:type="dxa"/>
          </w:tcPr>
          <w:p w:rsidR="0072033C" w:rsidRDefault="0072033C"/>
        </w:tc>
      </w:tr>
      <w:tr w:rsidR="0072033C" w:rsidTr="0072033C">
        <w:trPr>
          <w:trHeight w:val="592"/>
        </w:trPr>
        <w:tc>
          <w:tcPr>
            <w:tcW w:w="3663" w:type="dxa"/>
          </w:tcPr>
          <w:p w:rsidR="0072033C" w:rsidRPr="00593542" w:rsidRDefault="0072033C" w:rsidP="000923D2">
            <w:r w:rsidRPr="00593542">
              <w:t>Assist in job search, job placement, job retention</w:t>
            </w:r>
          </w:p>
        </w:tc>
        <w:tc>
          <w:tcPr>
            <w:tcW w:w="3663" w:type="dxa"/>
          </w:tcPr>
          <w:p w:rsidR="0072033C" w:rsidRDefault="0072033C"/>
        </w:tc>
        <w:tc>
          <w:tcPr>
            <w:tcW w:w="3663" w:type="dxa"/>
          </w:tcPr>
          <w:p w:rsidR="0072033C" w:rsidRDefault="0072033C"/>
        </w:tc>
        <w:tc>
          <w:tcPr>
            <w:tcW w:w="3663" w:type="dxa"/>
          </w:tcPr>
          <w:p w:rsidR="0072033C" w:rsidRDefault="0072033C"/>
        </w:tc>
        <w:tc>
          <w:tcPr>
            <w:tcW w:w="3666" w:type="dxa"/>
          </w:tcPr>
          <w:p w:rsidR="0072033C" w:rsidRDefault="0072033C"/>
        </w:tc>
      </w:tr>
      <w:tr w:rsidR="0072033C" w:rsidTr="0072033C">
        <w:trPr>
          <w:trHeight w:val="592"/>
        </w:trPr>
        <w:tc>
          <w:tcPr>
            <w:tcW w:w="3663" w:type="dxa"/>
          </w:tcPr>
          <w:p w:rsidR="0072033C" w:rsidRPr="00593542" w:rsidRDefault="0072033C" w:rsidP="000923D2">
            <w:r w:rsidRPr="00593542">
              <w:t>Re-engage participant after designated period of work for enrollment in next step of career pathway</w:t>
            </w:r>
          </w:p>
        </w:tc>
        <w:tc>
          <w:tcPr>
            <w:tcW w:w="3663" w:type="dxa"/>
          </w:tcPr>
          <w:p w:rsidR="0072033C" w:rsidRDefault="0072033C"/>
        </w:tc>
        <w:tc>
          <w:tcPr>
            <w:tcW w:w="3663" w:type="dxa"/>
          </w:tcPr>
          <w:p w:rsidR="0072033C" w:rsidRDefault="0072033C"/>
        </w:tc>
        <w:tc>
          <w:tcPr>
            <w:tcW w:w="3663" w:type="dxa"/>
          </w:tcPr>
          <w:p w:rsidR="0072033C" w:rsidRDefault="0072033C"/>
        </w:tc>
        <w:tc>
          <w:tcPr>
            <w:tcW w:w="3666" w:type="dxa"/>
          </w:tcPr>
          <w:p w:rsidR="0072033C" w:rsidRDefault="0072033C"/>
        </w:tc>
      </w:tr>
      <w:tr w:rsidR="00ED2A8C" w:rsidTr="002A175B">
        <w:trPr>
          <w:trHeight w:val="592"/>
        </w:trPr>
        <w:tc>
          <w:tcPr>
            <w:tcW w:w="18318" w:type="dxa"/>
            <w:gridSpan w:val="5"/>
            <w:shd w:val="clear" w:color="auto" w:fill="DBE5F1" w:themeFill="accent1" w:themeFillTint="33"/>
            <w:vAlign w:val="center"/>
          </w:tcPr>
          <w:p w:rsidR="00ED2A8C" w:rsidRPr="00ED2A8C" w:rsidRDefault="00ED2A8C">
            <w:pPr>
              <w:rPr>
                <w:sz w:val="28"/>
              </w:rPr>
            </w:pPr>
            <w:r w:rsidRPr="00B541C2">
              <w:rPr>
                <w:b/>
                <w:sz w:val="32"/>
              </w:rPr>
              <w:lastRenderedPageBreak/>
              <w:t>COORDINATE FINANCIAL AID</w:t>
            </w:r>
          </w:p>
        </w:tc>
      </w:tr>
      <w:tr w:rsidR="00774B1E" w:rsidTr="0072033C">
        <w:trPr>
          <w:trHeight w:val="592"/>
        </w:trPr>
        <w:tc>
          <w:tcPr>
            <w:tcW w:w="3663" w:type="dxa"/>
          </w:tcPr>
          <w:p w:rsidR="00774B1E" w:rsidRDefault="0072033C">
            <w:r>
              <w:t>Support FAFSA use</w:t>
            </w:r>
          </w:p>
        </w:tc>
        <w:tc>
          <w:tcPr>
            <w:tcW w:w="3663" w:type="dxa"/>
          </w:tcPr>
          <w:p w:rsidR="00774B1E" w:rsidRDefault="00774B1E"/>
        </w:tc>
        <w:tc>
          <w:tcPr>
            <w:tcW w:w="3663" w:type="dxa"/>
          </w:tcPr>
          <w:p w:rsidR="00774B1E" w:rsidRDefault="00774B1E"/>
        </w:tc>
        <w:tc>
          <w:tcPr>
            <w:tcW w:w="3663" w:type="dxa"/>
          </w:tcPr>
          <w:p w:rsidR="00774B1E" w:rsidRDefault="00774B1E"/>
        </w:tc>
        <w:tc>
          <w:tcPr>
            <w:tcW w:w="3666" w:type="dxa"/>
          </w:tcPr>
          <w:p w:rsidR="00774B1E" w:rsidRDefault="00774B1E"/>
        </w:tc>
      </w:tr>
      <w:tr w:rsidR="0072033C" w:rsidTr="0072033C">
        <w:trPr>
          <w:trHeight w:val="592"/>
        </w:trPr>
        <w:tc>
          <w:tcPr>
            <w:tcW w:w="3663" w:type="dxa"/>
          </w:tcPr>
          <w:p w:rsidR="0072033C" w:rsidRDefault="0072033C">
            <w:r>
              <w:t>Initiate Ability to Benefit to make non-HSD participants eligible for federal financial aid</w:t>
            </w:r>
          </w:p>
        </w:tc>
        <w:tc>
          <w:tcPr>
            <w:tcW w:w="3663" w:type="dxa"/>
          </w:tcPr>
          <w:p w:rsidR="0072033C" w:rsidRDefault="0072033C"/>
        </w:tc>
        <w:tc>
          <w:tcPr>
            <w:tcW w:w="3663" w:type="dxa"/>
          </w:tcPr>
          <w:p w:rsidR="0072033C" w:rsidRDefault="0072033C"/>
        </w:tc>
        <w:tc>
          <w:tcPr>
            <w:tcW w:w="3663" w:type="dxa"/>
          </w:tcPr>
          <w:p w:rsidR="0072033C" w:rsidRDefault="0072033C"/>
        </w:tc>
        <w:tc>
          <w:tcPr>
            <w:tcW w:w="3666" w:type="dxa"/>
          </w:tcPr>
          <w:p w:rsidR="0072033C" w:rsidRDefault="0072033C"/>
        </w:tc>
      </w:tr>
      <w:tr w:rsidR="0072033C" w:rsidTr="0072033C">
        <w:trPr>
          <w:trHeight w:val="592"/>
        </w:trPr>
        <w:tc>
          <w:tcPr>
            <w:tcW w:w="3663" w:type="dxa"/>
          </w:tcPr>
          <w:p w:rsidR="0072033C" w:rsidRPr="00593542" w:rsidRDefault="0072033C">
            <w:r w:rsidRPr="00593542">
              <w:t>Assess individual’s access to education funding (e.g., HEA title IV, WIOA Adult/Youth/Dislocated Worker, TAA, W2, employer tuition reimbursement)</w:t>
            </w:r>
          </w:p>
        </w:tc>
        <w:tc>
          <w:tcPr>
            <w:tcW w:w="3663" w:type="dxa"/>
          </w:tcPr>
          <w:p w:rsidR="0072033C" w:rsidRDefault="0072033C"/>
        </w:tc>
        <w:tc>
          <w:tcPr>
            <w:tcW w:w="3663" w:type="dxa"/>
          </w:tcPr>
          <w:p w:rsidR="0072033C" w:rsidRDefault="0072033C"/>
        </w:tc>
        <w:tc>
          <w:tcPr>
            <w:tcW w:w="3663" w:type="dxa"/>
          </w:tcPr>
          <w:p w:rsidR="0072033C" w:rsidRDefault="0072033C"/>
        </w:tc>
        <w:tc>
          <w:tcPr>
            <w:tcW w:w="3666" w:type="dxa"/>
          </w:tcPr>
          <w:p w:rsidR="0072033C" w:rsidRDefault="0072033C"/>
        </w:tc>
      </w:tr>
      <w:tr w:rsidR="00ED2A8C" w:rsidTr="006B235D">
        <w:trPr>
          <w:trHeight w:val="592"/>
        </w:trPr>
        <w:tc>
          <w:tcPr>
            <w:tcW w:w="18318" w:type="dxa"/>
            <w:gridSpan w:val="5"/>
            <w:shd w:val="clear" w:color="auto" w:fill="DBE5F1" w:themeFill="accent1" w:themeFillTint="33"/>
            <w:vAlign w:val="center"/>
          </w:tcPr>
          <w:p w:rsidR="00ED2A8C" w:rsidRPr="00ED2A8C" w:rsidRDefault="00ED2A8C">
            <w:pPr>
              <w:rPr>
                <w:sz w:val="28"/>
              </w:rPr>
            </w:pPr>
            <w:r w:rsidRPr="00B541C2">
              <w:rPr>
                <w:b/>
                <w:sz w:val="32"/>
              </w:rPr>
              <w:t>USE DATA EFFECTIVELY</w:t>
            </w:r>
          </w:p>
        </w:tc>
      </w:tr>
      <w:tr w:rsidR="00774B1E" w:rsidTr="0072033C">
        <w:trPr>
          <w:trHeight w:val="592"/>
        </w:trPr>
        <w:tc>
          <w:tcPr>
            <w:tcW w:w="3663" w:type="dxa"/>
          </w:tcPr>
          <w:p w:rsidR="00774B1E" w:rsidRDefault="00B541C2">
            <w:r>
              <w:t>Use aligned labor market information to influence program design</w:t>
            </w:r>
          </w:p>
        </w:tc>
        <w:tc>
          <w:tcPr>
            <w:tcW w:w="3663" w:type="dxa"/>
          </w:tcPr>
          <w:p w:rsidR="00774B1E" w:rsidRDefault="00774B1E"/>
        </w:tc>
        <w:tc>
          <w:tcPr>
            <w:tcW w:w="3663" w:type="dxa"/>
          </w:tcPr>
          <w:p w:rsidR="00774B1E" w:rsidRDefault="00774B1E"/>
        </w:tc>
        <w:tc>
          <w:tcPr>
            <w:tcW w:w="3663" w:type="dxa"/>
          </w:tcPr>
          <w:p w:rsidR="00774B1E" w:rsidRDefault="00774B1E"/>
        </w:tc>
        <w:tc>
          <w:tcPr>
            <w:tcW w:w="3666" w:type="dxa"/>
          </w:tcPr>
          <w:p w:rsidR="00774B1E" w:rsidRDefault="00774B1E"/>
        </w:tc>
      </w:tr>
      <w:tr w:rsidR="00B541C2" w:rsidTr="0072033C">
        <w:trPr>
          <w:trHeight w:val="592"/>
        </w:trPr>
        <w:tc>
          <w:tcPr>
            <w:tcW w:w="3663" w:type="dxa"/>
          </w:tcPr>
          <w:p w:rsidR="00B541C2" w:rsidRDefault="00B541C2">
            <w:r>
              <w:t>Use menu of performance metrics that meet needs of partners and provide continuous improvement as well as evaluation data</w:t>
            </w:r>
          </w:p>
        </w:tc>
        <w:tc>
          <w:tcPr>
            <w:tcW w:w="3663" w:type="dxa"/>
          </w:tcPr>
          <w:p w:rsidR="00B541C2" w:rsidRDefault="00B541C2"/>
        </w:tc>
        <w:tc>
          <w:tcPr>
            <w:tcW w:w="3663" w:type="dxa"/>
          </w:tcPr>
          <w:p w:rsidR="00B541C2" w:rsidRDefault="00B541C2"/>
        </w:tc>
        <w:tc>
          <w:tcPr>
            <w:tcW w:w="3663" w:type="dxa"/>
          </w:tcPr>
          <w:p w:rsidR="00B541C2" w:rsidRDefault="00B541C2"/>
        </w:tc>
        <w:tc>
          <w:tcPr>
            <w:tcW w:w="3666" w:type="dxa"/>
          </w:tcPr>
          <w:p w:rsidR="00B541C2" w:rsidRDefault="00B541C2"/>
        </w:tc>
      </w:tr>
      <w:tr w:rsidR="00B541C2" w:rsidTr="0072033C">
        <w:trPr>
          <w:trHeight w:val="592"/>
        </w:trPr>
        <w:tc>
          <w:tcPr>
            <w:tcW w:w="3663" w:type="dxa"/>
          </w:tcPr>
          <w:p w:rsidR="00B541C2" w:rsidRPr="00593542" w:rsidRDefault="00B541C2">
            <w:r w:rsidRPr="00593542">
              <w:t>Use interim progress measures (e.g., WIOA Measurable Skill Gains) to measure participant progress and transition</w:t>
            </w:r>
          </w:p>
        </w:tc>
        <w:tc>
          <w:tcPr>
            <w:tcW w:w="3663" w:type="dxa"/>
          </w:tcPr>
          <w:p w:rsidR="00B541C2" w:rsidRDefault="00B541C2"/>
        </w:tc>
        <w:tc>
          <w:tcPr>
            <w:tcW w:w="3663" w:type="dxa"/>
          </w:tcPr>
          <w:p w:rsidR="00B541C2" w:rsidRDefault="00B541C2"/>
        </w:tc>
        <w:tc>
          <w:tcPr>
            <w:tcW w:w="3663" w:type="dxa"/>
          </w:tcPr>
          <w:p w:rsidR="00B541C2" w:rsidRDefault="00B541C2"/>
        </w:tc>
        <w:tc>
          <w:tcPr>
            <w:tcW w:w="3666" w:type="dxa"/>
          </w:tcPr>
          <w:p w:rsidR="00B541C2" w:rsidRDefault="00B541C2"/>
        </w:tc>
      </w:tr>
      <w:tr w:rsidR="00B541C2" w:rsidTr="0072033C">
        <w:trPr>
          <w:trHeight w:val="592"/>
        </w:trPr>
        <w:tc>
          <w:tcPr>
            <w:tcW w:w="3663" w:type="dxa"/>
          </w:tcPr>
          <w:p w:rsidR="00B541C2" w:rsidRPr="00593542" w:rsidRDefault="00B541C2">
            <w:r w:rsidRPr="00593542">
              <w:t xml:space="preserve">Use education and labor market outcomes </w:t>
            </w:r>
          </w:p>
        </w:tc>
        <w:tc>
          <w:tcPr>
            <w:tcW w:w="3663" w:type="dxa"/>
          </w:tcPr>
          <w:p w:rsidR="00B541C2" w:rsidRDefault="00B541C2"/>
        </w:tc>
        <w:tc>
          <w:tcPr>
            <w:tcW w:w="3663" w:type="dxa"/>
          </w:tcPr>
          <w:p w:rsidR="00B541C2" w:rsidRDefault="00B541C2"/>
        </w:tc>
        <w:tc>
          <w:tcPr>
            <w:tcW w:w="3663" w:type="dxa"/>
          </w:tcPr>
          <w:p w:rsidR="00B541C2" w:rsidRDefault="00B541C2"/>
        </w:tc>
        <w:tc>
          <w:tcPr>
            <w:tcW w:w="3666" w:type="dxa"/>
          </w:tcPr>
          <w:p w:rsidR="00B541C2" w:rsidRDefault="00B541C2"/>
        </w:tc>
      </w:tr>
    </w:tbl>
    <w:p w:rsidR="007640D6" w:rsidRDefault="007640D6"/>
    <w:sectPr w:rsidR="007640D6" w:rsidSect="006362A6">
      <w:headerReference w:type="default" r:id="rId10"/>
      <w:pgSz w:w="20160" w:h="12240" w:orient="landscape" w:code="5"/>
      <w:pgMar w:top="9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644" w:rsidRDefault="00944644" w:rsidP="007640D6">
      <w:pPr>
        <w:spacing w:after="0" w:line="240" w:lineRule="auto"/>
      </w:pPr>
      <w:r>
        <w:separator/>
      </w:r>
    </w:p>
  </w:endnote>
  <w:endnote w:type="continuationSeparator" w:id="0">
    <w:p w:rsidR="00944644" w:rsidRDefault="00944644" w:rsidP="0076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644" w:rsidRDefault="00944644" w:rsidP="007640D6">
      <w:pPr>
        <w:spacing w:after="0" w:line="240" w:lineRule="auto"/>
      </w:pPr>
      <w:r>
        <w:separator/>
      </w:r>
    </w:p>
  </w:footnote>
  <w:footnote w:type="continuationSeparator" w:id="0">
    <w:p w:rsidR="00944644" w:rsidRDefault="00944644" w:rsidP="00764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6388"/>
      <w:gridCol w:w="2332"/>
    </w:tblGrid>
    <w:tr w:rsidR="006362A6">
      <w:trPr>
        <w:trHeight w:val="288"/>
      </w:trPr>
      <w:tc>
        <w:tcPr>
          <w:tcW w:w="7765" w:type="dxa"/>
        </w:tcPr>
        <w:p w:rsidR="006362A6" w:rsidRDefault="00FC7629" w:rsidP="006362A6">
          <w:pPr>
            <w:pStyle w:val="Header"/>
            <w:jc w:val="right"/>
            <w:rPr>
              <w:rFonts w:asciiTheme="majorHAnsi" w:eastAsiaTheme="majorEastAsia" w:hAnsiTheme="majorHAnsi" w:cstheme="majorBidi"/>
              <w:sz w:val="36"/>
              <w:szCs w:val="36"/>
            </w:rPr>
          </w:pPr>
          <w:sdt>
            <w:sdtPr>
              <w:rPr>
                <w:rFonts w:asciiTheme="majorHAnsi" w:eastAsiaTheme="majorEastAsia" w:hAnsiTheme="majorHAnsi" w:cstheme="majorBidi"/>
                <w:sz w:val="36"/>
                <w:szCs w:val="36"/>
              </w:rPr>
              <w:alias w:val="Title"/>
              <w:id w:val="77761602"/>
              <w:dataBinding w:prefixMappings="xmlns:ns0='http://schemas.openxmlformats.org/package/2006/metadata/core-properties' xmlns:ns1='http://purl.org/dc/elements/1.1/'" w:xpath="/ns0:coreProperties[1]/ns1:title[1]" w:storeItemID="{6C3C8BC8-F283-45AE-878A-BAB7291924A1}"/>
              <w:text/>
            </w:sdtPr>
            <w:sdtEndPr/>
            <w:sdtContent>
              <w:r w:rsidR="00593542">
                <w:rPr>
                  <w:rFonts w:asciiTheme="majorHAnsi" w:eastAsiaTheme="majorEastAsia" w:hAnsiTheme="majorHAnsi" w:cstheme="majorBidi"/>
                  <w:sz w:val="36"/>
                  <w:szCs w:val="36"/>
                </w:rPr>
                <w:t>CALIFORNIA CAREER PATHWAY FUNDING WORKSHEET</w:t>
              </w:r>
            </w:sdtContent>
          </w:sdt>
        </w:p>
      </w:tc>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EndPr/>
        <w:sdtContent>
          <w:tc>
            <w:tcPr>
              <w:tcW w:w="1105" w:type="dxa"/>
            </w:tcPr>
            <w:p w:rsidR="006362A6" w:rsidRDefault="00671513" w:rsidP="006362A6">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2018</w:t>
              </w:r>
            </w:p>
          </w:tc>
        </w:sdtContent>
      </w:sdt>
    </w:tr>
  </w:tbl>
  <w:p w:rsidR="007640D6" w:rsidRDefault="00FC7629" w:rsidP="006362A6">
    <w:pPr>
      <w:pStyle w:val="Header"/>
    </w:pPr>
    <w:sdt>
      <w:sdtPr>
        <w:rPr>
          <w:rFonts w:asciiTheme="majorHAnsi" w:eastAsiaTheme="majorEastAsia" w:hAnsiTheme="majorHAnsi" w:cstheme="majorBidi"/>
          <w:sz w:val="36"/>
          <w:szCs w:val="36"/>
        </w:rPr>
        <w:id w:val="926234987"/>
        <w:docPartObj>
          <w:docPartGallery w:val="Watermarks"/>
          <w:docPartUnique/>
        </w:docPartObj>
      </w:sdtPr>
      <w:sdtEndPr/>
      <w:sdtContent>
        <w:r>
          <w:rPr>
            <w:rFonts w:asciiTheme="majorHAnsi" w:eastAsiaTheme="majorEastAsia" w:hAnsiTheme="majorHAnsi" w:cstheme="majorBidi"/>
            <w:noProof/>
            <w:sz w:val="36"/>
            <w:szCs w:val="36"/>
            <w:lang w:eastAsia="zh-TW"/>
          </w:rPr>
          <w:pict w14:anchorId="12567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50"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4E27F8"/>
    <w:multiLevelType w:val="hybridMultilevel"/>
    <w:tmpl w:val="2124A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10151E"/>
    <w:multiLevelType w:val="hybridMultilevel"/>
    <w:tmpl w:val="86A25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DA41DA"/>
    <w:multiLevelType w:val="hybridMultilevel"/>
    <w:tmpl w:val="2DF2F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0D6"/>
    <w:rsid w:val="000923D2"/>
    <w:rsid w:val="000F2797"/>
    <w:rsid w:val="0013430C"/>
    <w:rsid w:val="001C387D"/>
    <w:rsid w:val="002B2E8D"/>
    <w:rsid w:val="002C0931"/>
    <w:rsid w:val="003114CF"/>
    <w:rsid w:val="00365BF2"/>
    <w:rsid w:val="003760FD"/>
    <w:rsid w:val="0044273E"/>
    <w:rsid w:val="0046229E"/>
    <w:rsid w:val="00526DE1"/>
    <w:rsid w:val="00571CD0"/>
    <w:rsid w:val="00593542"/>
    <w:rsid w:val="006328A5"/>
    <w:rsid w:val="006362A6"/>
    <w:rsid w:val="00671513"/>
    <w:rsid w:val="0072033C"/>
    <w:rsid w:val="007640D6"/>
    <w:rsid w:val="00774B1E"/>
    <w:rsid w:val="00777CE2"/>
    <w:rsid w:val="00893291"/>
    <w:rsid w:val="00944644"/>
    <w:rsid w:val="00A30C18"/>
    <w:rsid w:val="00A50FFD"/>
    <w:rsid w:val="00A74C26"/>
    <w:rsid w:val="00AB1BFA"/>
    <w:rsid w:val="00B541C2"/>
    <w:rsid w:val="00B92039"/>
    <w:rsid w:val="00BB3DBB"/>
    <w:rsid w:val="00BD55FE"/>
    <w:rsid w:val="00CE3729"/>
    <w:rsid w:val="00DD27A1"/>
    <w:rsid w:val="00DE7947"/>
    <w:rsid w:val="00EB1E1A"/>
    <w:rsid w:val="00EB44E3"/>
    <w:rsid w:val="00ED2A8C"/>
    <w:rsid w:val="00EF3ED9"/>
    <w:rsid w:val="00F37F85"/>
    <w:rsid w:val="00F70619"/>
    <w:rsid w:val="00FC7629"/>
    <w:rsid w:val="00FE0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23093B69-6938-4B9D-8B90-CDB311D8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0D6"/>
  </w:style>
  <w:style w:type="paragraph" w:styleId="Footer">
    <w:name w:val="footer"/>
    <w:basedOn w:val="Normal"/>
    <w:link w:val="FooterChar"/>
    <w:uiPriority w:val="99"/>
    <w:unhideWhenUsed/>
    <w:rsid w:val="0076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0D6"/>
  </w:style>
  <w:style w:type="paragraph" w:styleId="BalloonText">
    <w:name w:val="Balloon Text"/>
    <w:basedOn w:val="Normal"/>
    <w:link w:val="BalloonTextChar"/>
    <w:uiPriority w:val="99"/>
    <w:semiHidden/>
    <w:unhideWhenUsed/>
    <w:rsid w:val="0076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0D6"/>
    <w:rPr>
      <w:rFonts w:ascii="Tahoma" w:hAnsi="Tahoma" w:cs="Tahoma"/>
      <w:sz w:val="16"/>
      <w:szCs w:val="16"/>
    </w:rPr>
  </w:style>
  <w:style w:type="paragraph" w:styleId="ListParagraph">
    <w:name w:val="List Paragraph"/>
    <w:basedOn w:val="Normal"/>
    <w:uiPriority w:val="34"/>
    <w:qFormat/>
    <w:rsid w:val="00BD55FE"/>
    <w:pPr>
      <w:ind w:left="720"/>
      <w:contextualSpacing/>
    </w:pPr>
  </w:style>
  <w:style w:type="character" w:styleId="CommentReference">
    <w:name w:val="annotation reference"/>
    <w:basedOn w:val="DefaultParagraphFont"/>
    <w:uiPriority w:val="99"/>
    <w:semiHidden/>
    <w:unhideWhenUsed/>
    <w:rsid w:val="002C0931"/>
    <w:rPr>
      <w:sz w:val="16"/>
      <w:szCs w:val="16"/>
    </w:rPr>
  </w:style>
  <w:style w:type="paragraph" w:styleId="CommentText">
    <w:name w:val="annotation text"/>
    <w:basedOn w:val="Normal"/>
    <w:link w:val="CommentTextChar"/>
    <w:uiPriority w:val="99"/>
    <w:semiHidden/>
    <w:unhideWhenUsed/>
    <w:rsid w:val="002C0931"/>
    <w:pPr>
      <w:spacing w:line="240" w:lineRule="auto"/>
    </w:pPr>
    <w:rPr>
      <w:sz w:val="20"/>
      <w:szCs w:val="20"/>
    </w:rPr>
  </w:style>
  <w:style w:type="character" w:customStyle="1" w:styleId="CommentTextChar">
    <w:name w:val="Comment Text Char"/>
    <w:basedOn w:val="DefaultParagraphFont"/>
    <w:link w:val="CommentText"/>
    <w:uiPriority w:val="99"/>
    <w:semiHidden/>
    <w:rsid w:val="002C0931"/>
    <w:rPr>
      <w:sz w:val="20"/>
      <w:szCs w:val="20"/>
    </w:rPr>
  </w:style>
  <w:style w:type="paragraph" w:styleId="CommentSubject">
    <w:name w:val="annotation subject"/>
    <w:basedOn w:val="CommentText"/>
    <w:next w:val="CommentText"/>
    <w:link w:val="CommentSubjectChar"/>
    <w:uiPriority w:val="99"/>
    <w:semiHidden/>
    <w:unhideWhenUsed/>
    <w:rsid w:val="002C0931"/>
    <w:rPr>
      <w:b/>
      <w:bCs/>
    </w:rPr>
  </w:style>
  <w:style w:type="character" w:customStyle="1" w:styleId="CommentSubjectChar">
    <w:name w:val="Comment Subject Char"/>
    <w:basedOn w:val="CommentTextChar"/>
    <w:link w:val="CommentSubject"/>
    <w:uiPriority w:val="99"/>
    <w:semiHidden/>
    <w:rsid w:val="002C0931"/>
    <w:rPr>
      <w:b/>
      <w:bCs/>
      <w:sz w:val="20"/>
      <w:szCs w:val="20"/>
    </w:rPr>
  </w:style>
  <w:style w:type="paragraph" w:styleId="Revision">
    <w:name w:val="Revision"/>
    <w:hidden/>
    <w:uiPriority w:val="99"/>
    <w:semiHidden/>
    <w:rsid w:val="000923D2"/>
    <w:pPr>
      <w:spacing w:after="0" w:line="240" w:lineRule="auto"/>
    </w:pPr>
  </w:style>
  <w:style w:type="character" w:styleId="Hyperlink">
    <w:name w:val="Hyperlink"/>
    <w:basedOn w:val="DefaultParagraphFont"/>
    <w:uiPriority w:val="99"/>
    <w:unhideWhenUsed/>
    <w:rsid w:val="00A74C26"/>
    <w:rPr>
      <w:color w:val="0000FF" w:themeColor="hyperlink"/>
      <w:u w:val="single"/>
    </w:rPr>
  </w:style>
  <w:style w:type="character" w:customStyle="1" w:styleId="UnresolvedMention">
    <w:name w:val="Unresolved Mention"/>
    <w:basedOn w:val="DefaultParagraphFont"/>
    <w:uiPriority w:val="99"/>
    <w:semiHidden/>
    <w:unhideWhenUsed/>
    <w:rsid w:val="00593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sp.org/publications/report/brief/funding-career-pathways-and-career-pathway-bridges-federal-policy-toolkit"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acareerpathways.clasp.org/"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D01408-C9A5-449D-BB14-78EABF8701BD}"/>
</file>

<file path=customXml/itemProps3.xml><?xml version="1.0" encoding="utf-8"?>
<ds:datastoreItem xmlns:ds="http://schemas.openxmlformats.org/officeDocument/2006/customXml" ds:itemID="{95526889-83C1-4DB6-8CC3-7C0924BF315D}"/>
</file>

<file path=customXml/itemProps4.xml><?xml version="1.0" encoding="utf-8"?>
<ds:datastoreItem xmlns:ds="http://schemas.openxmlformats.org/officeDocument/2006/customXml" ds:itemID="{704F03EB-078D-4753-8004-F79EBE26B10F}"/>
</file>

<file path=docProps/app.xml><?xml version="1.0" encoding="utf-8"?>
<Properties xmlns="http://schemas.openxmlformats.org/officeDocument/2006/extended-properties" xmlns:vt="http://schemas.openxmlformats.org/officeDocument/2006/docPropsVTypes">
  <Template>Normal</Template>
  <TotalTime>0</TotalTime>
  <Pages>4</Pages>
  <Words>658</Words>
  <Characters>3755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CALIFORNIA CAREER PATHWAY FUNDING WORKSHEET</vt:lpstr>
    </vt:vector>
  </TitlesOfParts>
  <Company/>
  <LinksUpToDate>false</LinksUpToDate>
  <CharactersWithSpaces>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CAREER PATHWAY FUNDING WORKSHEET</dc:title>
  <dc:creator>Judy Mortrude</dc:creator>
  <cp:lastModifiedBy>Veronica Parker</cp:lastModifiedBy>
  <cp:revision>2</cp:revision>
  <dcterms:created xsi:type="dcterms:W3CDTF">2018-11-14T22:43:00Z</dcterms:created>
  <dcterms:modified xsi:type="dcterms:W3CDTF">2018-11-14T22:43:00Z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0x010100D914E7CC524621418951E798A26C1086</vt:lpwstr>
  </property>
</Properties>
</file>