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ECBA7" w14:textId="77777777" w:rsidR="0045251E" w:rsidRPr="00580859" w:rsidRDefault="0045251E" w:rsidP="00580859">
      <w:pPr>
        <w:pStyle w:val="Heading1"/>
      </w:pPr>
      <w:r w:rsidRPr="00580859">
        <w:t>About AEBG</w:t>
      </w:r>
    </w:p>
    <w:p w14:paraId="7D376FC6" w14:textId="77777777" w:rsidR="0045251E" w:rsidRPr="0018534D" w:rsidRDefault="0045251E" w:rsidP="0018534D">
      <w:pPr>
        <w:pStyle w:val="Heading2"/>
      </w:pPr>
      <w:r w:rsidRPr="0018534D">
        <w:t>Adult Education Block Grant Legislative Overview</w:t>
      </w:r>
    </w:p>
    <w:p w14:paraId="52C80247" w14:textId="77777777" w:rsidR="0045251E" w:rsidRPr="0045251E" w:rsidRDefault="0045251E" w:rsidP="00192EE3">
      <w:pPr>
        <w:pStyle w:val="ListParagraph"/>
        <w:numPr>
          <w:ilvl w:val="0"/>
          <w:numId w:val="15"/>
        </w:numPr>
        <w:ind w:left="274"/>
      </w:pPr>
      <w:r w:rsidRPr="0045251E">
        <w:t>The Chancellor of the California Community Colleges and the Superintendent of Public Instruction shall administer the Adult Education Block Grant to identify and understand the educational needs of adults and to support the effective provision of services to address those needs in all regions of the state.</w:t>
      </w:r>
    </w:p>
    <w:p w14:paraId="5E0C47AA" w14:textId="77777777" w:rsidR="0045251E" w:rsidRPr="0045251E" w:rsidRDefault="0045251E" w:rsidP="00192EE3">
      <w:pPr>
        <w:pStyle w:val="ListParagraph"/>
        <w:numPr>
          <w:ilvl w:val="0"/>
          <w:numId w:val="15"/>
        </w:numPr>
        <w:ind w:left="274"/>
      </w:pPr>
      <w:r w:rsidRPr="0045251E">
        <w:t>The Chancellor and the Superintendent, with the advice of the executive director of the State School Board will provide the following:</w:t>
      </w:r>
    </w:p>
    <w:p w14:paraId="182637DA" w14:textId="77777777" w:rsidR="0045251E" w:rsidRPr="0045251E" w:rsidRDefault="0045251E" w:rsidP="00491987">
      <w:pPr>
        <w:pStyle w:val="ListParagraph"/>
        <w:numPr>
          <w:ilvl w:val="0"/>
          <w:numId w:val="16"/>
        </w:numPr>
        <w:ind w:left="720"/>
      </w:pPr>
      <w:r w:rsidRPr="0045251E">
        <w:t>Determine the physical boundaries of the adult education regions, taking into consideration economic and demographic factors, boundaries of regions used to distribute other state funds and the presence of effective adult education providers. Until otherwise determined, the boundaries of the adult education regions will be the same as the boundaries of regions established for planning and implementation.</w:t>
      </w:r>
    </w:p>
    <w:p w14:paraId="0D3959AD" w14:textId="0A7970D1" w:rsidR="0045251E" w:rsidRPr="0045251E" w:rsidRDefault="0045251E" w:rsidP="00491987">
      <w:pPr>
        <w:pStyle w:val="ListParagraph"/>
        <w:numPr>
          <w:ilvl w:val="0"/>
          <w:numId w:val="16"/>
        </w:numPr>
        <w:ind w:left="720"/>
      </w:pPr>
      <w:r w:rsidRPr="0045251E">
        <w:t>Approve one adult education consortium</w:t>
      </w:r>
      <w:r w:rsidR="00FD4C4E">
        <w:tab/>
      </w:r>
      <w:r w:rsidRPr="0045251E">
        <w:t xml:space="preserve"> in each region. Until otherwise determined the consortia that received planning and implementation grants shall be deemed approved.</w:t>
      </w:r>
    </w:p>
    <w:p w14:paraId="6C31ED27" w14:textId="77777777" w:rsidR="0045251E" w:rsidRPr="0045251E" w:rsidRDefault="0045251E" w:rsidP="009A1050">
      <w:pPr>
        <w:pStyle w:val="ListParagraph"/>
        <w:numPr>
          <w:ilvl w:val="0"/>
          <w:numId w:val="17"/>
        </w:numPr>
        <w:ind w:left="274"/>
      </w:pPr>
      <w:r w:rsidRPr="0045251E">
        <w:t xml:space="preserve">The </w:t>
      </w:r>
      <w:r w:rsidRPr="00BA1937">
        <w:t>Chancellor and Superintendent shall approve for each consortium rules and procedures that</w:t>
      </w:r>
      <w:r w:rsidRPr="0045251E">
        <w:t xml:space="preserve"> adhere to the following conditions:</w:t>
      </w:r>
    </w:p>
    <w:p w14:paraId="5263F0EB" w14:textId="77777777" w:rsidR="0045251E" w:rsidRPr="0045251E" w:rsidRDefault="0045251E" w:rsidP="00BA1937">
      <w:pPr>
        <w:pStyle w:val="ListParagraph"/>
        <w:numPr>
          <w:ilvl w:val="0"/>
          <w:numId w:val="18"/>
        </w:numPr>
        <w:ind w:left="720"/>
      </w:pPr>
      <w:r w:rsidRPr="0045251E">
        <w:t>Consortium members can be any community college district, school district, county office of education or any joint powers authority consisting of any combination of these located within the boundaries of the adult education region.</w:t>
      </w:r>
    </w:p>
    <w:p w14:paraId="5F1E5C08" w14:textId="77777777" w:rsidR="0045251E" w:rsidRPr="0045251E" w:rsidRDefault="0045251E" w:rsidP="00BA1937">
      <w:pPr>
        <w:pStyle w:val="ListParagraph"/>
        <w:numPr>
          <w:ilvl w:val="0"/>
          <w:numId w:val="18"/>
        </w:numPr>
        <w:ind w:left="720"/>
      </w:pPr>
      <w:r w:rsidRPr="0045251E">
        <w:t>Consortium members shall report any available funds for the purposes of adult education and workforce services for adults and the uses of those funds.</w:t>
      </w:r>
    </w:p>
    <w:p w14:paraId="2ABD97FE" w14:textId="77777777" w:rsidR="0045251E" w:rsidRPr="0045251E" w:rsidRDefault="0045251E" w:rsidP="00BA1937">
      <w:pPr>
        <w:pStyle w:val="ListParagraph"/>
        <w:numPr>
          <w:ilvl w:val="0"/>
          <w:numId w:val="18"/>
        </w:numPr>
        <w:ind w:left="720"/>
      </w:pPr>
      <w:r w:rsidRPr="0045251E">
        <w:t>Consortium members shall be represented only by an official designated by the governing board of the member.</w:t>
      </w:r>
    </w:p>
    <w:p w14:paraId="467CB321" w14:textId="77777777" w:rsidR="0045251E" w:rsidRPr="0045251E" w:rsidRDefault="0045251E" w:rsidP="00BA1937">
      <w:pPr>
        <w:pStyle w:val="ListParagraph"/>
        <w:numPr>
          <w:ilvl w:val="0"/>
          <w:numId w:val="18"/>
        </w:numPr>
        <w:ind w:left="720"/>
      </w:pPr>
      <w:r w:rsidRPr="0045251E">
        <w:t>Consortium members may designate a member to serve as fund administrator to receive and distribute funds form the program.</w:t>
      </w:r>
    </w:p>
    <w:p w14:paraId="38F0DA3F" w14:textId="77777777" w:rsidR="0045251E" w:rsidRPr="0045251E" w:rsidRDefault="0045251E" w:rsidP="00BA1937">
      <w:pPr>
        <w:pStyle w:val="ListParagraph"/>
        <w:numPr>
          <w:ilvl w:val="0"/>
          <w:numId w:val="18"/>
        </w:numPr>
        <w:ind w:left="720"/>
      </w:pPr>
      <w:r w:rsidRPr="0045251E">
        <w:t>Decision-making procedures must meet the following conditions:</w:t>
      </w:r>
    </w:p>
    <w:p w14:paraId="0AF173E3" w14:textId="77777777" w:rsidR="0045251E" w:rsidRPr="0045251E" w:rsidRDefault="0045251E" w:rsidP="00B6504C">
      <w:pPr>
        <w:pStyle w:val="ListParagraph"/>
        <w:numPr>
          <w:ilvl w:val="0"/>
          <w:numId w:val="19"/>
        </w:numPr>
      </w:pPr>
      <w:r w:rsidRPr="0045251E">
        <w:t>All consortium members must participate in any decision made.</w:t>
      </w:r>
    </w:p>
    <w:p w14:paraId="6BF78C80" w14:textId="77777777" w:rsidR="0045251E" w:rsidRPr="0045251E" w:rsidRDefault="0045251E" w:rsidP="00B6504C">
      <w:pPr>
        <w:pStyle w:val="ListParagraph"/>
        <w:numPr>
          <w:ilvl w:val="0"/>
          <w:numId w:val="19"/>
        </w:numPr>
      </w:pPr>
      <w:r w:rsidRPr="0045251E">
        <w:t>Proposed decisions must be considered at an open, properly noticed public meeting of the consortium at which members of the public may comment.</w:t>
      </w:r>
    </w:p>
    <w:p w14:paraId="12D5FDD1" w14:textId="77777777" w:rsidR="0045251E" w:rsidRPr="0045251E" w:rsidRDefault="0045251E" w:rsidP="00B6504C">
      <w:pPr>
        <w:pStyle w:val="ListParagraph"/>
        <w:numPr>
          <w:ilvl w:val="0"/>
          <w:numId w:val="19"/>
        </w:numPr>
      </w:pPr>
      <w:r w:rsidRPr="0045251E">
        <w:t>The consortium provides the public with adequate notice of proposed decisions and considers any comments submitted by members of the public and distributes publicly comments submitted by the public.</w:t>
      </w:r>
    </w:p>
    <w:p w14:paraId="36770362" w14:textId="77777777" w:rsidR="0045251E" w:rsidRPr="0045251E" w:rsidRDefault="0045251E" w:rsidP="00B6504C">
      <w:pPr>
        <w:pStyle w:val="ListParagraph"/>
        <w:numPr>
          <w:ilvl w:val="0"/>
          <w:numId w:val="19"/>
        </w:numPr>
      </w:pPr>
      <w:r w:rsidRPr="0045251E">
        <w:t xml:space="preserve">The consortium requests, considers and responds to comments regarding proposed decisions for other organizations within the region that provide education and workforce services for adults. Organizations that provide education and workforce services for adults include, but are not limited to, local public agencies, </w:t>
      </w:r>
      <w:proofErr w:type="gramStart"/>
      <w:r w:rsidRPr="0045251E">
        <w:t>departments</w:t>
      </w:r>
      <w:proofErr w:type="gramEnd"/>
      <w:r w:rsidRPr="0045251E">
        <w:t xml:space="preserve"> and offices, particularly those with responsibility for local public safety and social services, workforce investment boards, libraries and community-based organizations.</w:t>
      </w:r>
    </w:p>
    <w:p w14:paraId="0EC992E2" w14:textId="77777777" w:rsidR="0045251E" w:rsidRPr="0045251E" w:rsidRDefault="0045251E" w:rsidP="00B6504C">
      <w:pPr>
        <w:pStyle w:val="ListParagraph"/>
        <w:numPr>
          <w:ilvl w:val="0"/>
          <w:numId w:val="19"/>
        </w:numPr>
      </w:pPr>
      <w:r w:rsidRPr="0045251E">
        <w:t>Decisions are final. A decision includes approval of an adult education play and approval of a distribution schedule.</w:t>
      </w:r>
    </w:p>
    <w:p w14:paraId="66149821" w14:textId="77777777" w:rsidR="0045251E" w:rsidRPr="0045251E" w:rsidRDefault="0045251E" w:rsidP="00D86626">
      <w:pPr>
        <w:pStyle w:val="ListParagraph"/>
        <w:numPr>
          <w:ilvl w:val="0"/>
          <w:numId w:val="20"/>
        </w:numPr>
        <w:ind w:left="547"/>
      </w:pPr>
      <w:r w:rsidRPr="0045251E">
        <w:t>To receive an apportionment of funds from the program for the fiscal year, members of the consortium shall have approved an adult education plan that includes the following:</w:t>
      </w:r>
    </w:p>
    <w:p w14:paraId="18F2DC1E" w14:textId="24B2A165" w:rsidR="0045251E" w:rsidRPr="0045251E" w:rsidRDefault="0045251E" w:rsidP="00F55F38">
      <w:pPr>
        <w:pStyle w:val="ListParagraph"/>
        <w:numPr>
          <w:ilvl w:val="0"/>
          <w:numId w:val="21"/>
        </w:numPr>
      </w:pPr>
      <w:r w:rsidRPr="0045251E">
        <w:t>An evaluation of educational needs of adults in the region.</w:t>
      </w:r>
      <w:r w:rsidR="00F55F38">
        <w:br w:type="page"/>
      </w:r>
    </w:p>
    <w:p w14:paraId="59A3F11B" w14:textId="77777777" w:rsidR="0045251E" w:rsidRPr="0045251E" w:rsidRDefault="0045251E" w:rsidP="008B5685">
      <w:pPr>
        <w:pStyle w:val="ListParagraph"/>
        <w:numPr>
          <w:ilvl w:val="0"/>
          <w:numId w:val="22"/>
        </w:numPr>
      </w:pPr>
      <w:r w:rsidRPr="0045251E">
        <w:lastRenderedPageBreak/>
        <w:t>A list of entities that provide education and workforce services to adults in the region and entities that have a fundamental interest in the provision of those services.</w:t>
      </w:r>
    </w:p>
    <w:p w14:paraId="01657C2B" w14:textId="77777777" w:rsidR="0045251E" w:rsidRPr="0045251E" w:rsidRDefault="0045251E" w:rsidP="008B5685">
      <w:pPr>
        <w:pStyle w:val="ListParagraph"/>
        <w:numPr>
          <w:ilvl w:val="0"/>
          <w:numId w:val="22"/>
        </w:numPr>
      </w:pPr>
      <w:r w:rsidRPr="0045251E">
        <w:t>A description of the services provided by those entities.</w:t>
      </w:r>
    </w:p>
    <w:p w14:paraId="2D592B8E" w14:textId="77777777" w:rsidR="0045251E" w:rsidRPr="0045251E" w:rsidRDefault="0045251E" w:rsidP="008B5685">
      <w:pPr>
        <w:pStyle w:val="ListParagraph"/>
        <w:numPr>
          <w:ilvl w:val="0"/>
          <w:numId w:val="22"/>
        </w:numPr>
      </w:pPr>
      <w:r w:rsidRPr="0045251E">
        <w:t>An evaluation of current levels and types of education and workforce services for adults in the region.</w:t>
      </w:r>
    </w:p>
    <w:p w14:paraId="50E8A753" w14:textId="77777777" w:rsidR="0045251E" w:rsidRPr="0045251E" w:rsidRDefault="0045251E" w:rsidP="008B5685">
      <w:pPr>
        <w:pStyle w:val="ListParagraph"/>
        <w:numPr>
          <w:ilvl w:val="0"/>
          <w:numId w:val="22"/>
        </w:numPr>
      </w:pPr>
      <w:r w:rsidRPr="0045251E">
        <w:t>An evaluation of the funds available to consortium members and other entities listed above. Include funds other than those apportioned by this program.</w:t>
      </w:r>
    </w:p>
    <w:p w14:paraId="0867FE19" w14:textId="77777777" w:rsidR="0045251E" w:rsidRPr="0045251E" w:rsidRDefault="0045251E" w:rsidP="008B5685">
      <w:pPr>
        <w:pStyle w:val="ListParagraph"/>
        <w:numPr>
          <w:ilvl w:val="0"/>
          <w:numId w:val="22"/>
        </w:numPr>
      </w:pPr>
      <w:r w:rsidRPr="0045251E">
        <w:t>Actions that consortium members will take to address education needs identified above.</w:t>
      </w:r>
    </w:p>
    <w:p w14:paraId="188BC646" w14:textId="77777777" w:rsidR="0045251E" w:rsidRPr="0045251E" w:rsidRDefault="0045251E" w:rsidP="008B5685">
      <w:pPr>
        <w:pStyle w:val="ListParagraph"/>
        <w:numPr>
          <w:ilvl w:val="0"/>
          <w:numId w:val="22"/>
        </w:numPr>
      </w:pPr>
      <w:r w:rsidRPr="0045251E">
        <w:t>Actions that consortium members will take to improve the effectiveness of their services.</w:t>
      </w:r>
    </w:p>
    <w:p w14:paraId="45421FF4" w14:textId="77777777" w:rsidR="0045251E" w:rsidRPr="0045251E" w:rsidRDefault="0045251E" w:rsidP="008B5685">
      <w:pPr>
        <w:pStyle w:val="ListParagraph"/>
        <w:numPr>
          <w:ilvl w:val="0"/>
          <w:numId w:val="22"/>
        </w:numPr>
      </w:pPr>
      <w:r w:rsidRPr="0045251E">
        <w:t xml:space="preserve">Actions that consortium members, the entities listed </w:t>
      </w:r>
      <w:proofErr w:type="gramStart"/>
      <w:r w:rsidRPr="0045251E">
        <w:t>above</w:t>
      </w:r>
      <w:proofErr w:type="gramEnd"/>
      <w:r w:rsidRPr="0045251E">
        <w:t xml:space="preserve"> and other interested parties will take to improve integration of services and to improve transitions into postsecondary education and workforce including the following:</w:t>
      </w:r>
    </w:p>
    <w:p w14:paraId="14D0BA25" w14:textId="77777777" w:rsidR="0045251E" w:rsidRPr="0045251E" w:rsidRDefault="0045251E" w:rsidP="008B5685">
      <w:pPr>
        <w:pStyle w:val="ListParagraph"/>
        <w:numPr>
          <w:ilvl w:val="0"/>
          <w:numId w:val="23"/>
        </w:numPr>
        <w:ind w:left="2880"/>
      </w:pPr>
      <w:r w:rsidRPr="0045251E">
        <w:t>Placement of adults seeking education and workforce services into adult education programs.</w:t>
      </w:r>
    </w:p>
    <w:p w14:paraId="2681E380" w14:textId="77777777" w:rsidR="0045251E" w:rsidRPr="0045251E" w:rsidRDefault="0045251E" w:rsidP="008B5685">
      <w:pPr>
        <w:pStyle w:val="ListParagraph"/>
        <w:numPr>
          <w:ilvl w:val="0"/>
          <w:numId w:val="23"/>
        </w:numPr>
        <w:ind w:left="2880"/>
      </w:pPr>
      <w:r w:rsidRPr="0045251E">
        <w:t>Alignment of academic standards and curricula for programs across entities that provide education and workforce services to adults.</w:t>
      </w:r>
    </w:p>
    <w:p w14:paraId="600178F8" w14:textId="77777777" w:rsidR="0045251E" w:rsidRPr="0045251E" w:rsidRDefault="0045251E" w:rsidP="008B5685">
      <w:pPr>
        <w:pStyle w:val="ListParagraph"/>
        <w:numPr>
          <w:ilvl w:val="0"/>
          <w:numId w:val="23"/>
        </w:numPr>
        <w:ind w:left="2880"/>
      </w:pPr>
      <w:r w:rsidRPr="0045251E">
        <w:t>Qualifications of instructors, including common standards across entities that provide education and workforce services to adults.</w:t>
      </w:r>
    </w:p>
    <w:p w14:paraId="338AA945" w14:textId="77777777" w:rsidR="0045251E" w:rsidRPr="0045251E" w:rsidRDefault="0045251E" w:rsidP="008B5685">
      <w:pPr>
        <w:pStyle w:val="ListParagraph"/>
        <w:numPr>
          <w:ilvl w:val="0"/>
          <w:numId w:val="23"/>
        </w:numPr>
        <w:ind w:left="2880"/>
      </w:pPr>
      <w:r w:rsidRPr="0045251E">
        <w:t>Collection and availability of data.</w:t>
      </w:r>
    </w:p>
    <w:p w14:paraId="698C9A79" w14:textId="77777777" w:rsidR="0045251E" w:rsidRPr="0045251E" w:rsidRDefault="0045251E" w:rsidP="008B5685">
      <w:pPr>
        <w:pStyle w:val="ListParagraph"/>
        <w:numPr>
          <w:ilvl w:val="0"/>
          <w:numId w:val="24"/>
        </w:numPr>
        <w:ind w:left="806"/>
      </w:pPr>
      <w:r w:rsidRPr="0045251E">
        <w:t>A description of the alignment of adult services supported by this program with those described in other education and workforce plans in the region, including the building of career pathways, employment of workforce sector strategies and requirements for the federal Workforce Innovation and Opportunity Act.</w:t>
      </w:r>
    </w:p>
    <w:p w14:paraId="520F0F10" w14:textId="77777777" w:rsidR="0045251E" w:rsidRPr="0045251E" w:rsidRDefault="0045251E" w:rsidP="008B5685">
      <w:pPr>
        <w:pStyle w:val="ListParagraph"/>
        <w:numPr>
          <w:ilvl w:val="0"/>
          <w:numId w:val="24"/>
        </w:numPr>
        <w:ind w:left="806"/>
      </w:pPr>
      <w:r w:rsidRPr="0045251E">
        <w:t>A description of the ways each of the above entities contributed to the development of the plan.</w:t>
      </w:r>
    </w:p>
    <w:p w14:paraId="26C1C35D" w14:textId="77777777" w:rsidR="0045251E" w:rsidRPr="0045251E" w:rsidRDefault="0045251E" w:rsidP="009219AF">
      <w:pPr>
        <w:pStyle w:val="ListParagraph"/>
        <w:numPr>
          <w:ilvl w:val="0"/>
          <w:numId w:val="25"/>
        </w:numPr>
        <w:ind w:left="547"/>
      </w:pPr>
      <w:r w:rsidRPr="0045251E">
        <w:t>Consortium members shall approve an adult education plan once every three years and update the plan once each year.</w:t>
      </w:r>
    </w:p>
    <w:p w14:paraId="7270857F" w14:textId="77777777" w:rsidR="0045251E" w:rsidRPr="00251EC9" w:rsidRDefault="0045251E" w:rsidP="007B45BA">
      <w:pPr>
        <w:pStyle w:val="Heading3"/>
      </w:pPr>
      <w:r w:rsidRPr="00251EC9">
        <w:t>Funding for 2015-2016 Fiscal Year</w:t>
      </w:r>
    </w:p>
    <w:p w14:paraId="61BE5A9C" w14:textId="77777777" w:rsidR="0045251E" w:rsidRPr="0045251E" w:rsidRDefault="0045251E" w:rsidP="00A21830">
      <w:pPr>
        <w:pStyle w:val="ListParagraph"/>
        <w:numPr>
          <w:ilvl w:val="0"/>
          <w:numId w:val="26"/>
        </w:numPr>
        <w:ind w:left="547"/>
      </w:pPr>
      <w:r w:rsidRPr="0045251E">
        <w:t xml:space="preserve">By July 31, 2015, the </w:t>
      </w:r>
      <w:proofErr w:type="gramStart"/>
      <w:r w:rsidRPr="0045251E">
        <w:t>Chancellor</w:t>
      </w:r>
      <w:proofErr w:type="gramEnd"/>
      <w:r w:rsidRPr="0045251E">
        <w:t xml:space="preserve"> and the Superintendent, with the advice of the executive director, shall certify for each school district and county office of education the amount of state funds required to be expended for adult education.</w:t>
      </w:r>
    </w:p>
    <w:p w14:paraId="5EA70E14" w14:textId="77777777" w:rsidR="0045251E" w:rsidRPr="0045251E" w:rsidRDefault="0045251E" w:rsidP="00A21830">
      <w:pPr>
        <w:pStyle w:val="ListParagraph"/>
        <w:numPr>
          <w:ilvl w:val="0"/>
          <w:numId w:val="26"/>
        </w:numPr>
        <w:ind w:left="547"/>
      </w:pPr>
      <w:r w:rsidRPr="0045251E">
        <w:t>If the total amount certified is less than $375,000,000, the Chancellor and Superintendent shall apportion funds to each school district and county office of education by August 30, 2015. A school district or county office of education must be a member of a consortium to receive funds.</w:t>
      </w:r>
    </w:p>
    <w:p w14:paraId="60E9B0D2" w14:textId="50EE14A9" w:rsidR="0045251E" w:rsidRPr="0045251E" w:rsidRDefault="0045251E" w:rsidP="00BA45F9">
      <w:pPr>
        <w:pStyle w:val="ListParagraph"/>
        <w:numPr>
          <w:ilvl w:val="0"/>
          <w:numId w:val="26"/>
        </w:numPr>
        <w:ind w:left="547"/>
      </w:pPr>
      <w:r w:rsidRPr="0045251E">
        <w:t>If the total certified amount for school districts and county offices of education exceeds $375,000,000, the Chancellor and Superintendent shall apportion funds to school districts and county offices of education by August 30, 2015, based on this formula: certified amount for district or COE multiplied by $375,000,000 divided by total certified amount for all school districts and COEs.</w:t>
      </w:r>
      <w:r w:rsidR="00BA45F9">
        <w:br w:type="page"/>
      </w:r>
    </w:p>
    <w:p w14:paraId="637745BF" w14:textId="77777777" w:rsidR="0045251E" w:rsidRPr="0045251E" w:rsidRDefault="0045251E" w:rsidP="003A76FB">
      <w:pPr>
        <w:pStyle w:val="ListParagraph"/>
        <w:numPr>
          <w:ilvl w:val="0"/>
          <w:numId w:val="27"/>
        </w:numPr>
        <w:ind w:left="547"/>
      </w:pPr>
      <w:r w:rsidRPr="0045251E">
        <w:lastRenderedPageBreak/>
        <w:t>By October 30, 2015, the Chancellor and Superintendent, with the executive director, will approve a schedule of allocations for the remaining funds, based on the adult education region’s share of statewide need for adult education.</w:t>
      </w:r>
    </w:p>
    <w:p w14:paraId="71BB8CFF" w14:textId="77777777" w:rsidR="0045251E" w:rsidRPr="0045251E" w:rsidRDefault="0045251E" w:rsidP="003A76FB">
      <w:pPr>
        <w:pStyle w:val="ListParagraph"/>
        <w:numPr>
          <w:ilvl w:val="0"/>
          <w:numId w:val="27"/>
        </w:numPr>
        <w:ind w:left="547"/>
      </w:pPr>
      <w:r w:rsidRPr="0045251E">
        <w:t xml:space="preserve">Funds may be apportioned to the consortium’s designated fund administrator, no more than 30 days after approval of the schedule of </w:t>
      </w:r>
      <w:proofErr w:type="gramStart"/>
      <w:r w:rsidRPr="0045251E">
        <w:t>allocations;</w:t>
      </w:r>
      <w:proofErr w:type="gramEnd"/>
      <w:r w:rsidRPr="0045251E">
        <w:t xml:space="preserve"> or to members of the consortium, no more than 30 days after receiving final distribution schedule from the consortium.</w:t>
      </w:r>
    </w:p>
    <w:p w14:paraId="431CFFF5" w14:textId="77777777" w:rsidR="0045251E" w:rsidRPr="0045251E" w:rsidRDefault="0045251E" w:rsidP="007B45BA">
      <w:pPr>
        <w:pStyle w:val="Heading3"/>
      </w:pPr>
      <w:r w:rsidRPr="0045251E">
        <w:t>Funding for 2016-2017 Fiscal year</w:t>
      </w:r>
    </w:p>
    <w:p w14:paraId="4A943471" w14:textId="77777777" w:rsidR="0045251E" w:rsidRPr="0045251E" w:rsidRDefault="0045251E" w:rsidP="009E5FFD">
      <w:pPr>
        <w:pStyle w:val="ListParagraph"/>
        <w:numPr>
          <w:ilvl w:val="0"/>
          <w:numId w:val="28"/>
        </w:numPr>
        <w:ind w:left="547"/>
      </w:pPr>
      <w:r w:rsidRPr="0045251E">
        <w:t>By February 28 of the prior fiscal year, the Chancellor and Superintendent, with the executive director, shall approve a preliminary schedule of allocations to each consortium of any funds in the Governor’s Budget for the programs.</w:t>
      </w:r>
    </w:p>
    <w:p w14:paraId="32ACB61B" w14:textId="77777777" w:rsidR="0045251E" w:rsidRPr="0045251E" w:rsidRDefault="0045251E" w:rsidP="009E5FFD">
      <w:pPr>
        <w:pStyle w:val="ListParagraph"/>
        <w:numPr>
          <w:ilvl w:val="0"/>
          <w:numId w:val="28"/>
        </w:numPr>
        <w:ind w:left="547"/>
      </w:pPr>
      <w:r w:rsidRPr="0045251E">
        <w:t>The Chancellor and Superintendent, with the executive director, shall approve a final schedule of allocations within 15 days of enactment of the annual Budget Act.</w:t>
      </w:r>
    </w:p>
    <w:p w14:paraId="26D30898" w14:textId="77777777" w:rsidR="0045251E" w:rsidRPr="0045251E" w:rsidRDefault="0045251E" w:rsidP="009E5FFD">
      <w:pPr>
        <w:pStyle w:val="ListParagraph"/>
        <w:numPr>
          <w:ilvl w:val="0"/>
          <w:numId w:val="28"/>
        </w:numPr>
        <w:ind w:left="547"/>
      </w:pPr>
      <w:r w:rsidRPr="0045251E">
        <w:t>The Chancellor and Superintendent shall determine the amount allocated to each consortium based on the amount apportioned to consortium members the preceding fiscal year, the adult education region’s share of the statewide need for adult education, and the consortium’s effectiveness in meeting educational needs of adults in their region.</w:t>
      </w:r>
    </w:p>
    <w:p w14:paraId="08FD8072" w14:textId="77777777" w:rsidR="0045251E" w:rsidRPr="0045251E" w:rsidRDefault="0045251E" w:rsidP="009E5FFD">
      <w:pPr>
        <w:pStyle w:val="ListParagraph"/>
        <w:numPr>
          <w:ilvl w:val="0"/>
          <w:numId w:val="28"/>
        </w:numPr>
        <w:ind w:left="547"/>
      </w:pPr>
      <w:r w:rsidRPr="0045251E">
        <w:t xml:space="preserve">Funds may be apportioned to the consortium’s designated fund administrator, no more than 30 days after approval of the schedule of </w:t>
      </w:r>
      <w:proofErr w:type="gramStart"/>
      <w:r w:rsidRPr="0045251E">
        <w:t>allocations;</w:t>
      </w:r>
      <w:proofErr w:type="gramEnd"/>
      <w:r w:rsidRPr="0045251E">
        <w:t xml:space="preserve"> or to members of the consortium, no more than 30 days after receiving final distribution schedule from the consortium.</w:t>
      </w:r>
    </w:p>
    <w:p w14:paraId="003544FF" w14:textId="77777777" w:rsidR="0045251E" w:rsidRPr="0045251E" w:rsidRDefault="0045251E" w:rsidP="009E5FFD">
      <w:pPr>
        <w:pStyle w:val="ListParagraph"/>
        <w:numPr>
          <w:ilvl w:val="0"/>
          <w:numId w:val="28"/>
        </w:numPr>
        <w:ind w:left="547"/>
      </w:pPr>
      <w:r w:rsidRPr="0045251E">
        <w:t>When approving a schedule of allocations, the Chancellor and Superintendent shall present preliminary projects for amounts to be allocated the following two fiscal years. These amounts are not binding.</w:t>
      </w:r>
    </w:p>
    <w:p w14:paraId="16A4AB3A" w14:textId="77777777" w:rsidR="0045251E" w:rsidRPr="0045251E" w:rsidRDefault="0045251E" w:rsidP="009E5FFD">
      <w:pPr>
        <w:pStyle w:val="ListParagraph"/>
        <w:numPr>
          <w:ilvl w:val="0"/>
          <w:numId w:val="28"/>
        </w:numPr>
        <w:ind w:left="547"/>
      </w:pPr>
      <w:r w:rsidRPr="0045251E">
        <w:t xml:space="preserve">To determine need for adult education, the Chancellor and Superintendent shall consider measures related to adult population, employment, immigration, educational </w:t>
      </w:r>
      <w:proofErr w:type="gramStart"/>
      <w:r w:rsidRPr="0045251E">
        <w:t>attainment</w:t>
      </w:r>
      <w:proofErr w:type="gramEnd"/>
      <w:r w:rsidRPr="0045251E">
        <w:t xml:space="preserve"> and adult literacy.</w:t>
      </w:r>
    </w:p>
    <w:p w14:paraId="46499994" w14:textId="77777777" w:rsidR="0045251E" w:rsidRPr="0045251E" w:rsidRDefault="0045251E" w:rsidP="009E5FFD">
      <w:pPr>
        <w:pStyle w:val="ListParagraph"/>
        <w:numPr>
          <w:ilvl w:val="0"/>
          <w:numId w:val="28"/>
        </w:numPr>
        <w:ind w:left="547"/>
      </w:pPr>
      <w:r w:rsidRPr="0045251E">
        <w:t>The Chancellor and Superintendent shall apportion funds appropriated throughout the year according to a specified schedule.</w:t>
      </w:r>
    </w:p>
    <w:p w14:paraId="10958BE1" w14:textId="77777777" w:rsidR="0045251E" w:rsidRPr="0045251E" w:rsidRDefault="0045251E" w:rsidP="007B45BA">
      <w:pPr>
        <w:pStyle w:val="Heading3"/>
      </w:pPr>
      <w:r w:rsidRPr="0045251E">
        <w:t>Use of Funds</w:t>
      </w:r>
    </w:p>
    <w:p w14:paraId="5423FCDF" w14:textId="77777777" w:rsidR="0045251E" w:rsidRPr="0045251E" w:rsidRDefault="0045251E" w:rsidP="00E04520">
      <w:pPr>
        <w:pStyle w:val="ListParagraph"/>
        <w:numPr>
          <w:ilvl w:val="0"/>
          <w:numId w:val="30"/>
        </w:numPr>
        <w:ind w:left="547"/>
      </w:pPr>
      <w:r w:rsidRPr="0045251E">
        <w:t>Funds apportioned for the program must be used for the following:</w:t>
      </w:r>
    </w:p>
    <w:p w14:paraId="03A8D174" w14:textId="77777777" w:rsidR="0045251E" w:rsidRPr="0045251E" w:rsidRDefault="0045251E" w:rsidP="004A02CD">
      <w:pPr>
        <w:pStyle w:val="ListParagraph"/>
        <w:numPr>
          <w:ilvl w:val="0"/>
          <w:numId w:val="31"/>
        </w:numPr>
        <w:ind w:left="720"/>
      </w:pPr>
      <w:r w:rsidRPr="0045251E">
        <w:t>Programs in elementary and secondary basic skills, including programs leading to a high school diploma or high school equivalency certificate.</w:t>
      </w:r>
    </w:p>
    <w:p w14:paraId="7E780BD4" w14:textId="77777777" w:rsidR="0045251E" w:rsidRPr="0045251E" w:rsidRDefault="0045251E" w:rsidP="004A02CD">
      <w:pPr>
        <w:pStyle w:val="ListParagraph"/>
        <w:numPr>
          <w:ilvl w:val="0"/>
          <w:numId w:val="31"/>
        </w:numPr>
        <w:ind w:left="720"/>
      </w:pPr>
      <w:r w:rsidRPr="0045251E">
        <w:t>Programs for immigrants eligible for educational services in citizenship, English as a second language, and workforce preparation.</w:t>
      </w:r>
    </w:p>
    <w:p w14:paraId="5E6AC929" w14:textId="77777777" w:rsidR="0045251E" w:rsidRPr="0045251E" w:rsidRDefault="0045251E" w:rsidP="004A02CD">
      <w:pPr>
        <w:pStyle w:val="ListParagraph"/>
        <w:numPr>
          <w:ilvl w:val="0"/>
          <w:numId w:val="31"/>
        </w:numPr>
        <w:ind w:left="720"/>
      </w:pPr>
      <w:r w:rsidRPr="0045251E">
        <w:t>Programs for adults, including, but not limited to, older adults, that are primarily related to entry or reentry into the workforce.</w:t>
      </w:r>
    </w:p>
    <w:p w14:paraId="41B4218E" w14:textId="77777777" w:rsidR="0045251E" w:rsidRPr="0045251E" w:rsidRDefault="0045251E" w:rsidP="004A02CD">
      <w:pPr>
        <w:pStyle w:val="ListParagraph"/>
        <w:numPr>
          <w:ilvl w:val="0"/>
          <w:numId w:val="31"/>
        </w:numPr>
        <w:ind w:left="720"/>
      </w:pPr>
      <w:r w:rsidRPr="0045251E">
        <w:t>Programs for adults, including, but not limited to, older adults, that are primarily designed to develop knowledge and skills to assist elementary and secondary school children to succeed academically in school.</w:t>
      </w:r>
    </w:p>
    <w:p w14:paraId="3678217F" w14:textId="77777777" w:rsidR="0045251E" w:rsidRPr="0045251E" w:rsidRDefault="0045251E" w:rsidP="004A02CD">
      <w:pPr>
        <w:pStyle w:val="ListParagraph"/>
        <w:numPr>
          <w:ilvl w:val="0"/>
          <w:numId w:val="31"/>
        </w:numPr>
        <w:ind w:left="720"/>
      </w:pPr>
      <w:r w:rsidRPr="0045251E">
        <w:t>Programs for adults with disabilities.</w:t>
      </w:r>
    </w:p>
    <w:p w14:paraId="39A9E7F8" w14:textId="77777777" w:rsidR="0045251E" w:rsidRPr="0045251E" w:rsidRDefault="0045251E" w:rsidP="004A02CD">
      <w:pPr>
        <w:pStyle w:val="ListParagraph"/>
        <w:numPr>
          <w:ilvl w:val="0"/>
          <w:numId w:val="31"/>
        </w:numPr>
        <w:ind w:left="720"/>
      </w:pPr>
      <w:r w:rsidRPr="0045251E">
        <w:t>Programs in career technical education that are short term in nature and have high employment potential.</w:t>
      </w:r>
    </w:p>
    <w:p w14:paraId="476735B3" w14:textId="62C25747" w:rsidR="0045251E" w:rsidRPr="0045251E" w:rsidRDefault="0045251E" w:rsidP="007D0CFF">
      <w:pPr>
        <w:pStyle w:val="ListParagraph"/>
        <w:numPr>
          <w:ilvl w:val="0"/>
          <w:numId w:val="31"/>
        </w:numPr>
        <w:ind w:left="720"/>
      </w:pPr>
      <w:r w:rsidRPr="0045251E">
        <w:t>Programs offering pre</w:t>
      </w:r>
      <w:r>
        <w:t>-</w:t>
      </w:r>
      <w:r w:rsidRPr="0045251E">
        <w:t>apprenticeship training activities conducted in coordination with one or more apprenticeship programs approved by the Division of Apprenticeship Standards for the occupation and geographic area.</w:t>
      </w:r>
      <w:r w:rsidR="007D0CFF">
        <w:br w:type="page"/>
      </w:r>
    </w:p>
    <w:p w14:paraId="755AD40A" w14:textId="77777777" w:rsidR="0045251E" w:rsidRPr="0045251E" w:rsidRDefault="0045251E" w:rsidP="00B34D2C">
      <w:pPr>
        <w:pStyle w:val="ListParagraph"/>
        <w:numPr>
          <w:ilvl w:val="0"/>
          <w:numId w:val="32"/>
        </w:numPr>
        <w:ind w:left="720"/>
      </w:pPr>
      <w:r w:rsidRPr="0045251E">
        <w:lastRenderedPageBreak/>
        <w:t>A consortium may use no more than 5% of funds allocated in a fiscal year for the costs of administration of these programs and the costs of the consortium.</w:t>
      </w:r>
    </w:p>
    <w:p w14:paraId="38857ED1" w14:textId="77777777" w:rsidR="0045251E" w:rsidRPr="0045251E" w:rsidRDefault="0045251E" w:rsidP="00B34D2C">
      <w:pPr>
        <w:pStyle w:val="ListParagraph"/>
        <w:numPr>
          <w:ilvl w:val="0"/>
          <w:numId w:val="32"/>
        </w:numPr>
        <w:ind w:left="720"/>
      </w:pPr>
      <w:r w:rsidRPr="0045251E">
        <w:t>To receive an apportionment from the program, a consortium shall approve a distribution schedule that includes the amount of funds to be distributed to each member and a narrative justifying how the planned allocations are consistent with the adult education plan.</w:t>
      </w:r>
    </w:p>
    <w:p w14:paraId="745EE313" w14:textId="77777777" w:rsidR="0045251E" w:rsidRPr="0045251E" w:rsidRDefault="0045251E" w:rsidP="00B34D2C">
      <w:pPr>
        <w:pStyle w:val="ListParagraph"/>
        <w:numPr>
          <w:ilvl w:val="0"/>
          <w:numId w:val="32"/>
        </w:numPr>
        <w:ind w:left="720"/>
      </w:pPr>
      <w:r w:rsidRPr="0045251E">
        <w:t>If the Chancellor and Superintendent allocate an amount of funds to the consortium which is greater than the amount allocated the prior fiscal year, each member of the consortium shall receive funds equal to or greater than the amount received the prior fiscal year unless</w:t>
      </w:r>
    </w:p>
    <w:p w14:paraId="773A5738" w14:textId="77777777" w:rsidR="0045251E" w:rsidRPr="0045251E" w:rsidRDefault="0045251E" w:rsidP="00B34D2C">
      <w:pPr>
        <w:pStyle w:val="ListParagraph"/>
        <w:numPr>
          <w:ilvl w:val="0"/>
          <w:numId w:val="33"/>
        </w:numPr>
      </w:pPr>
      <w:r w:rsidRPr="0045251E">
        <w:t xml:space="preserve">The member no longer wishes to provide services consistent with adult education </w:t>
      </w:r>
      <w:proofErr w:type="gramStart"/>
      <w:r w:rsidRPr="0045251E">
        <w:t>plan;</w:t>
      </w:r>
      <w:proofErr w:type="gramEnd"/>
    </w:p>
    <w:p w14:paraId="14310159" w14:textId="77777777" w:rsidR="0045251E" w:rsidRPr="0045251E" w:rsidRDefault="0045251E" w:rsidP="00B34D2C">
      <w:pPr>
        <w:pStyle w:val="ListParagraph"/>
        <w:numPr>
          <w:ilvl w:val="0"/>
          <w:numId w:val="33"/>
        </w:numPr>
      </w:pPr>
      <w:r w:rsidRPr="0045251E">
        <w:t xml:space="preserve">The member cannot provide services that address the needs identified in the adult education </w:t>
      </w:r>
      <w:proofErr w:type="gramStart"/>
      <w:r w:rsidRPr="0045251E">
        <w:t>plan;</w:t>
      </w:r>
      <w:proofErr w:type="gramEnd"/>
    </w:p>
    <w:p w14:paraId="370D6C81" w14:textId="77777777" w:rsidR="0045251E" w:rsidRPr="0045251E" w:rsidRDefault="0045251E" w:rsidP="00B34D2C">
      <w:pPr>
        <w:pStyle w:val="ListParagraph"/>
        <w:numPr>
          <w:ilvl w:val="0"/>
          <w:numId w:val="33"/>
        </w:numPr>
      </w:pPr>
      <w:r w:rsidRPr="0045251E">
        <w:t>The member has been consistently ineffective in providing services that address the needs identified in the adult education plans and reasonable interventions have not resulted in improvements.</w:t>
      </w:r>
    </w:p>
    <w:p w14:paraId="19085B0C" w14:textId="77777777" w:rsidR="0045251E" w:rsidRPr="0045251E" w:rsidRDefault="0045251E" w:rsidP="001360BC">
      <w:pPr>
        <w:pStyle w:val="ListParagraph"/>
        <w:numPr>
          <w:ilvl w:val="0"/>
          <w:numId w:val="34"/>
        </w:numPr>
        <w:ind w:left="547"/>
      </w:pPr>
      <w:r w:rsidRPr="0045251E">
        <w:t>If the Chancellor and Superintendent allocate an amount of funds to the consortium which is less than the amount allocated the prior fiscal year, the amount of funds distributed to each member shall not be reduced more than the percentage of the total decrease for the consortium unless</w:t>
      </w:r>
    </w:p>
    <w:p w14:paraId="70998817" w14:textId="77777777" w:rsidR="0045251E" w:rsidRPr="0045251E" w:rsidRDefault="0045251E" w:rsidP="000E67BF">
      <w:pPr>
        <w:pStyle w:val="ListParagraph"/>
        <w:numPr>
          <w:ilvl w:val="0"/>
          <w:numId w:val="35"/>
        </w:numPr>
        <w:ind w:left="720"/>
      </w:pPr>
      <w:r w:rsidRPr="0045251E">
        <w:t xml:space="preserve">The member no longer wishes to provide services consistent with adult education </w:t>
      </w:r>
      <w:proofErr w:type="gramStart"/>
      <w:r w:rsidRPr="0045251E">
        <w:t>plan;</w:t>
      </w:r>
      <w:proofErr w:type="gramEnd"/>
    </w:p>
    <w:p w14:paraId="4D06C50E" w14:textId="77777777" w:rsidR="0045251E" w:rsidRPr="0045251E" w:rsidRDefault="0045251E" w:rsidP="000E67BF">
      <w:pPr>
        <w:pStyle w:val="ListParagraph"/>
        <w:numPr>
          <w:ilvl w:val="0"/>
          <w:numId w:val="35"/>
        </w:numPr>
        <w:ind w:left="720"/>
      </w:pPr>
      <w:r w:rsidRPr="0045251E">
        <w:t xml:space="preserve">The member cannot provide services that address the needs identified in the adult education </w:t>
      </w:r>
      <w:proofErr w:type="gramStart"/>
      <w:r w:rsidRPr="0045251E">
        <w:t>plan;</w:t>
      </w:r>
      <w:proofErr w:type="gramEnd"/>
    </w:p>
    <w:p w14:paraId="17C276BE" w14:textId="77777777" w:rsidR="0045251E" w:rsidRPr="0045251E" w:rsidRDefault="0045251E" w:rsidP="000E67BF">
      <w:pPr>
        <w:pStyle w:val="ListParagraph"/>
        <w:numPr>
          <w:ilvl w:val="0"/>
          <w:numId w:val="35"/>
        </w:numPr>
        <w:ind w:left="720"/>
      </w:pPr>
      <w:r w:rsidRPr="0045251E">
        <w:t>The member has been consistently ineffective in providing services that address the needs identified in the adult education plans and reasonable interventions have not resulted in improvements.</w:t>
      </w:r>
    </w:p>
    <w:p w14:paraId="1A520389" w14:textId="77777777" w:rsidR="0045251E" w:rsidRPr="0045251E" w:rsidRDefault="0045251E" w:rsidP="00102B05">
      <w:pPr>
        <w:pStyle w:val="ListParagraph"/>
        <w:numPr>
          <w:ilvl w:val="0"/>
          <w:numId w:val="36"/>
        </w:numPr>
        <w:ind w:left="547"/>
      </w:pPr>
      <w:r w:rsidRPr="0045251E">
        <w:t>The distribution schedule shall include preliminary projections of the amount of funds to be distributed to each member for the following two fiscal years. These projections are not binding.</w:t>
      </w:r>
    </w:p>
    <w:p w14:paraId="575E4E33" w14:textId="77777777" w:rsidR="0045251E" w:rsidRPr="0045251E" w:rsidRDefault="0045251E" w:rsidP="00102B05">
      <w:pPr>
        <w:pStyle w:val="ListParagraph"/>
        <w:numPr>
          <w:ilvl w:val="0"/>
          <w:numId w:val="36"/>
        </w:numPr>
        <w:ind w:left="547"/>
      </w:pPr>
      <w:r w:rsidRPr="0045251E">
        <w:t>It is the intent of the Legislature to coordinate programs that support education and workforce services for adults.</w:t>
      </w:r>
    </w:p>
    <w:p w14:paraId="57EAD38B" w14:textId="77777777" w:rsidR="0045251E" w:rsidRPr="0045251E" w:rsidRDefault="0045251E" w:rsidP="00102B05">
      <w:pPr>
        <w:pStyle w:val="ListParagraph"/>
        <w:numPr>
          <w:ilvl w:val="0"/>
          <w:numId w:val="36"/>
        </w:numPr>
        <w:ind w:left="547"/>
      </w:pPr>
      <w:r w:rsidRPr="0045251E">
        <w:t xml:space="preserve">By January 31, 2016, the Chancellor and Superintendent shall submit to the Director of Finance, the State Board of </w:t>
      </w:r>
      <w:proofErr w:type="gramStart"/>
      <w:r w:rsidRPr="0045251E">
        <w:t>Education</w:t>
      </w:r>
      <w:proofErr w:type="gramEnd"/>
      <w:r w:rsidRPr="0045251E">
        <w:t xml:space="preserve"> and the Legislature a plan to distribute funds to the consortia from the federal Adult Education and Family Literacy Act (Title II of WIOA) and the federal Carl D. Perkins Career and Technical Education Act.</w:t>
      </w:r>
    </w:p>
    <w:p w14:paraId="66C24D3E" w14:textId="77777777" w:rsidR="0045251E" w:rsidRPr="0045251E" w:rsidRDefault="0045251E" w:rsidP="00102B05">
      <w:pPr>
        <w:pStyle w:val="ListParagraph"/>
        <w:numPr>
          <w:ilvl w:val="0"/>
          <w:numId w:val="36"/>
        </w:numPr>
        <w:ind w:left="547"/>
      </w:pPr>
      <w:r w:rsidRPr="0045251E">
        <w:t>It is the intent and expectation of the legislature that any community college district, school district, county office of education or joint powers authority consisting of any combination of these will be a member of an adult education consortium if it receives funds from the following:</w:t>
      </w:r>
    </w:p>
    <w:p w14:paraId="471A23E2" w14:textId="77777777" w:rsidR="0045251E" w:rsidRPr="0045251E" w:rsidRDefault="0045251E" w:rsidP="006E0E9F">
      <w:pPr>
        <w:pStyle w:val="ListParagraph"/>
        <w:numPr>
          <w:ilvl w:val="0"/>
          <w:numId w:val="37"/>
        </w:numPr>
        <w:ind w:left="720"/>
      </w:pPr>
      <w:r w:rsidRPr="0045251E">
        <w:t>The Adults in Correctional Facilities program</w:t>
      </w:r>
    </w:p>
    <w:p w14:paraId="50DF5F34" w14:textId="77777777" w:rsidR="0045251E" w:rsidRPr="0045251E" w:rsidRDefault="0045251E" w:rsidP="006E0E9F">
      <w:pPr>
        <w:pStyle w:val="ListParagraph"/>
        <w:numPr>
          <w:ilvl w:val="0"/>
          <w:numId w:val="37"/>
        </w:numPr>
        <w:ind w:left="720"/>
      </w:pPr>
      <w:r w:rsidRPr="0045251E">
        <w:t>The federal Adult Education and Family Literacy Act (Title II of the federal Workforce Innovation and Opportunity Act)</w:t>
      </w:r>
    </w:p>
    <w:p w14:paraId="24544062" w14:textId="77777777" w:rsidR="0045251E" w:rsidRPr="0045251E" w:rsidRDefault="0045251E" w:rsidP="006E0E9F">
      <w:pPr>
        <w:pStyle w:val="ListParagraph"/>
        <w:numPr>
          <w:ilvl w:val="0"/>
          <w:numId w:val="37"/>
        </w:numPr>
        <w:ind w:left="720"/>
      </w:pPr>
      <w:r w:rsidRPr="0045251E">
        <w:t>The federal Carl D. Perkins Career and Technical Education Act</w:t>
      </w:r>
    </w:p>
    <w:p w14:paraId="4F36B80E" w14:textId="77777777" w:rsidR="0045251E" w:rsidRPr="0045251E" w:rsidRDefault="0045251E" w:rsidP="006E0E9F">
      <w:pPr>
        <w:pStyle w:val="ListParagraph"/>
        <w:numPr>
          <w:ilvl w:val="0"/>
          <w:numId w:val="37"/>
        </w:numPr>
        <w:ind w:left="720"/>
      </w:pPr>
      <w:r w:rsidRPr="0045251E">
        <w:t xml:space="preserve">Local Control Funding Formula apportionments received for students who are 19 years of age or </w:t>
      </w:r>
      <w:proofErr w:type="gramStart"/>
      <w:r w:rsidRPr="0045251E">
        <w:t>older</w:t>
      </w:r>
      <w:proofErr w:type="gramEnd"/>
    </w:p>
    <w:p w14:paraId="75179F33" w14:textId="58252A87" w:rsidR="0045251E" w:rsidRPr="0045251E" w:rsidRDefault="0045251E" w:rsidP="009C512F">
      <w:pPr>
        <w:pStyle w:val="ListParagraph"/>
        <w:numPr>
          <w:ilvl w:val="0"/>
          <w:numId w:val="37"/>
        </w:numPr>
        <w:ind w:left="720"/>
      </w:pPr>
      <w:r w:rsidRPr="0045251E">
        <w:t>Community college apportionments received for providing instruction in courses in the areas funded by this program</w:t>
      </w:r>
      <w:r w:rsidR="009C512F">
        <w:br w:type="page"/>
      </w:r>
    </w:p>
    <w:p w14:paraId="0B102CF7" w14:textId="77777777" w:rsidR="0045251E" w:rsidRPr="0045251E" w:rsidRDefault="0045251E" w:rsidP="00006190">
      <w:pPr>
        <w:pStyle w:val="ListParagraph"/>
        <w:numPr>
          <w:ilvl w:val="0"/>
          <w:numId w:val="38"/>
        </w:numPr>
        <w:ind w:left="720"/>
      </w:pPr>
      <w:r w:rsidRPr="0045251E">
        <w:lastRenderedPageBreak/>
        <w:t>State funds for remedial education and job training services for participants in the CalWORKs program</w:t>
      </w:r>
    </w:p>
    <w:p w14:paraId="0699C3C5" w14:textId="77777777" w:rsidR="0045251E" w:rsidRPr="0045251E" w:rsidRDefault="0045251E" w:rsidP="00025C0B">
      <w:pPr>
        <w:pStyle w:val="ListParagraph"/>
        <w:numPr>
          <w:ilvl w:val="0"/>
          <w:numId w:val="39"/>
        </w:numPr>
        <w:ind w:left="547" w:right="-90"/>
      </w:pPr>
      <w:r w:rsidRPr="0045251E">
        <w:t xml:space="preserve">By September 30 following any fiscal year for which funds were appropriated for the program, the Chancellor and Superintendent shall submit a report about the use of these funds and outcomes for adults statewide and in each adult education region to the Director of Finance, the State Board of </w:t>
      </w:r>
      <w:proofErr w:type="gramStart"/>
      <w:r w:rsidRPr="0045251E">
        <w:t>Education</w:t>
      </w:r>
      <w:proofErr w:type="gramEnd"/>
      <w:r w:rsidRPr="0045251E">
        <w:t xml:space="preserve"> and the Legislature. The report shall include the following:</w:t>
      </w:r>
    </w:p>
    <w:p w14:paraId="53F818D8" w14:textId="77777777" w:rsidR="0045251E" w:rsidRPr="0045251E" w:rsidRDefault="0045251E" w:rsidP="00EA1D55">
      <w:pPr>
        <w:pStyle w:val="ListParagraph"/>
        <w:numPr>
          <w:ilvl w:val="0"/>
          <w:numId w:val="40"/>
        </w:numPr>
        <w:ind w:left="720"/>
      </w:pPr>
      <w:r w:rsidRPr="0045251E">
        <w:t>Summary of the adult education plan for each consortium</w:t>
      </w:r>
    </w:p>
    <w:p w14:paraId="6FDE0878" w14:textId="77777777" w:rsidR="0045251E" w:rsidRPr="0045251E" w:rsidRDefault="0045251E" w:rsidP="00EA1D55">
      <w:pPr>
        <w:pStyle w:val="ListParagraph"/>
        <w:numPr>
          <w:ilvl w:val="0"/>
          <w:numId w:val="40"/>
        </w:numPr>
        <w:ind w:left="720"/>
      </w:pPr>
      <w:r w:rsidRPr="0045251E">
        <w:t>Distribution schedule for each consortium</w:t>
      </w:r>
    </w:p>
    <w:p w14:paraId="33F7DEA1" w14:textId="77777777" w:rsidR="0045251E" w:rsidRPr="0045251E" w:rsidRDefault="0045251E" w:rsidP="00EA1D55">
      <w:pPr>
        <w:pStyle w:val="ListParagraph"/>
        <w:numPr>
          <w:ilvl w:val="0"/>
          <w:numId w:val="40"/>
        </w:numPr>
        <w:ind w:left="720"/>
      </w:pPr>
      <w:r w:rsidRPr="0045251E">
        <w:t xml:space="preserve">Types and levels of services provided by each </w:t>
      </w:r>
      <w:proofErr w:type="gramStart"/>
      <w:r w:rsidRPr="0045251E">
        <w:t>consortium</w:t>
      </w:r>
      <w:proofErr w:type="gramEnd"/>
    </w:p>
    <w:p w14:paraId="472483DB" w14:textId="77777777" w:rsidR="0045251E" w:rsidRPr="0045251E" w:rsidRDefault="0045251E" w:rsidP="00EA1D55">
      <w:pPr>
        <w:pStyle w:val="ListParagraph"/>
        <w:numPr>
          <w:ilvl w:val="0"/>
          <w:numId w:val="40"/>
        </w:numPr>
        <w:ind w:left="720"/>
      </w:pPr>
      <w:r w:rsidRPr="0045251E">
        <w:t xml:space="preserve">Effectiveness of each consortium in meeting the educational needs of adults in its </w:t>
      </w:r>
      <w:proofErr w:type="gramStart"/>
      <w:r w:rsidRPr="0045251E">
        <w:t>region</w:t>
      </w:r>
      <w:proofErr w:type="gramEnd"/>
    </w:p>
    <w:p w14:paraId="5EE33954" w14:textId="77777777" w:rsidR="0045251E" w:rsidRPr="0045251E" w:rsidRDefault="0045251E" w:rsidP="00EA1D55">
      <w:pPr>
        <w:pStyle w:val="ListParagraph"/>
        <w:numPr>
          <w:ilvl w:val="0"/>
          <w:numId w:val="40"/>
        </w:numPr>
        <w:ind w:left="720"/>
      </w:pPr>
      <w:r w:rsidRPr="0045251E">
        <w:t xml:space="preserve">Any recommendations related to delivery of education and workforce services for adults, including recommendations related to improved alignment of state </w:t>
      </w:r>
      <w:proofErr w:type="gramStart"/>
      <w:r w:rsidRPr="0045251E">
        <w:t>programs</w:t>
      </w:r>
      <w:proofErr w:type="gramEnd"/>
    </w:p>
    <w:p w14:paraId="4E1B4460" w14:textId="77777777" w:rsidR="0045251E" w:rsidRPr="0045251E" w:rsidRDefault="0045251E" w:rsidP="00054D24">
      <w:pPr>
        <w:pStyle w:val="ListParagraph"/>
        <w:numPr>
          <w:ilvl w:val="0"/>
          <w:numId w:val="41"/>
        </w:numPr>
        <w:ind w:left="547"/>
      </w:pPr>
      <w:r w:rsidRPr="0045251E">
        <w:t xml:space="preserve">The Chancellor and Superintendent may require a consortium, </w:t>
      </w:r>
      <w:proofErr w:type="gramStart"/>
      <w:r w:rsidRPr="0045251E">
        <w:t>in order to</w:t>
      </w:r>
      <w:proofErr w:type="gramEnd"/>
      <w:r w:rsidRPr="0045251E">
        <w:t xml:space="preserve"> receive funds, to submit any reports or data necessary to produce the above report.</w:t>
      </w:r>
    </w:p>
    <w:p w14:paraId="071AF031" w14:textId="77777777" w:rsidR="0045251E" w:rsidRPr="0045251E" w:rsidRDefault="0045251E" w:rsidP="00054D24">
      <w:pPr>
        <w:pStyle w:val="ListParagraph"/>
        <w:numPr>
          <w:ilvl w:val="0"/>
          <w:numId w:val="41"/>
        </w:numPr>
        <w:ind w:left="547"/>
      </w:pPr>
      <w:r w:rsidRPr="0045251E">
        <w:t>The Chancellor and Superintendent shall align the data used to produce the above report with data reported by local educational agencies for other purposes, such as WIOA.</w:t>
      </w:r>
    </w:p>
    <w:p w14:paraId="754EC252" w14:textId="7FD99850" w:rsidR="003429F4" w:rsidRDefault="0045251E" w:rsidP="00EB5275">
      <w:pPr>
        <w:pStyle w:val="ListParagraph"/>
        <w:numPr>
          <w:ilvl w:val="0"/>
          <w:numId w:val="41"/>
        </w:numPr>
        <w:ind w:left="547"/>
      </w:pPr>
      <w:r w:rsidRPr="0045251E">
        <w:t xml:space="preserve">The Employment Development Department and the California Workforce Investment Board shall provide any assistance needed to align delivery of services across state and regional workforce, </w:t>
      </w:r>
      <w:proofErr w:type="gramStart"/>
      <w:r w:rsidRPr="0045251E">
        <w:t>education</w:t>
      </w:r>
      <w:proofErr w:type="gramEnd"/>
      <w:r w:rsidRPr="0045251E">
        <w:t xml:space="preserve"> and job service programs.</w:t>
      </w:r>
    </w:p>
    <w:sectPr w:rsidR="00342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67739"/>
    <w:multiLevelType w:val="hybridMultilevel"/>
    <w:tmpl w:val="27D449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37FDF"/>
    <w:multiLevelType w:val="hybridMultilevel"/>
    <w:tmpl w:val="B23A05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8A4EBF"/>
    <w:multiLevelType w:val="hybridMultilevel"/>
    <w:tmpl w:val="98687D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4E601D"/>
    <w:multiLevelType w:val="hybridMultilevel"/>
    <w:tmpl w:val="EF1A624A"/>
    <w:lvl w:ilvl="0" w:tplc="AE78DF98">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9693D"/>
    <w:multiLevelType w:val="multilevel"/>
    <w:tmpl w:val="36F812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C38A6"/>
    <w:multiLevelType w:val="hybridMultilevel"/>
    <w:tmpl w:val="F9083C74"/>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A24757"/>
    <w:multiLevelType w:val="multilevel"/>
    <w:tmpl w:val="254672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E78"/>
    <w:multiLevelType w:val="hybridMultilevel"/>
    <w:tmpl w:val="5150EC24"/>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997FFB"/>
    <w:multiLevelType w:val="hybridMultilevel"/>
    <w:tmpl w:val="4D9E2C42"/>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724695"/>
    <w:multiLevelType w:val="hybridMultilevel"/>
    <w:tmpl w:val="1520B74E"/>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037803"/>
    <w:multiLevelType w:val="multilevel"/>
    <w:tmpl w:val="D7069FCA"/>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EF4E9D"/>
    <w:multiLevelType w:val="hybridMultilevel"/>
    <w:tmpl w:val="55AAF030"/>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795309"/>
    <w:multiLevelType w:val="hybridMultilevel"/>
    <w:tmpl w:val="9698E4FA"/>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565DA5"/>
    <w:multiLevelType w:val="multilevel"/>
    <w:tmpl w:val="AC7CB4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9438F7"/>
    <w:multiLevelType w:val="multilevel"/>
    <w:tmpl w:val="54A824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1169F8"/>
    <w:multiLevelType w:val="hybridMultilevel"/>
    <w:tmpl w:val="20245D48"/>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6C6E1B"/>
    <w:multiLevelType w:val="multilevel"/>
    <w:tmpl w:val="B53EC2BC"/>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C41FCC"/>
    <w:multiLevelType w:val="multilevel"/>
    <w:tmpl w:val="094E650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74CF2"/>
    <w:multiLevelType w:val="hybridMultilevel"/>
    <w:tmpl w:val="47EED5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DC72C7"/>
    <w:multiLevelType w:val="hybridMultilevel"/>
    <w:tmpl w:val="FB0CBF4A"/>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FC93637"/>
    <w:multiLevelType w:val="multilevel"/>
    <w:tmpl w:val="335232D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58221A"/>
    <w:multiLevelType w:val="multilevel"/>
    <w:tmpl w:val="CE28618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291884"/>
    <w:multiLevelType w:val="hybridMultilevel"/>
    <w:tmpl w:val="44D2AF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445248"/>
    <w:multiLevelType w:val="multilevel"/>
    <w:tmpl w:val="C94AB53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732B7"/>
    <w:multiLevelType w:val="multilevel"/>
    <w:tmpl w:val="C3341E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Calibri" w:hAnsi="Calibri"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F1799"/>
    <w:multiLevelType w:val="hybridMultilevel"/>
    <w:tmpl w:val="D6ECBA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4015BB"/>
    <w:multiLevelType w:val="hybridMultilevel"/>
    <w:tmpl w:val="BD864D9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A67BAA"/>
    <w:multiLevelType w:val="hybridMultilevel"/>
    <w:tmpl w:val="F140D68A"/>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40D0764"/>
    <w:multiLevelType w:val="hybridMultilevel"/>
    <w:tmpl w:val="623E702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4347371"/>
    <w:multiLevelType w:val="multilevel"/>
    <w:tmpl w:val="2654AC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660B99"/>
    <w:multiLevelType w:val="hybridMultilevel"/>
    <w:tmpl w:val="499EAE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1401C3"/>
    <w:multiLevelType w:val="hybridMultilevel"/>
    <w:tmpl w:val="6E2ADC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CB1E74"/>
    <w:multiLevelType w:val="hybridMultilevel"/>
    <w:tmpl w:val="1A76914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DB2885"/>
    <w:multiLevelType w:val="hybridMultilevel"/>
    <w:tmpl w:val="7018E7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167534E"/>
    <w:multiLevelType w:val="hybridMultilevel"/>
    <w:tmpl w:val="52922BBA"/>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4AE0060"/>
    <w:multiLevelType w:val="multilevel"/>
    <w:tmpl w:val="414C60F8"/>
    <w:lvl w:ilvl="0">
      <w:start w:val="1"/>
      <w:numFmt w:val="bullet"/>
      <w:lvlText w:val="⁻"/>
      <w:lvlJc w:val="left"/>
      <w:pPr>
        <w:tabs>
          <w:tab w:val="num" w:pos="720"/>
        </w:tabs>
        <w:ind w:left="720" w:hanging="360"/>
      </w:pPr>
      <w:rPr>
        <w:rFonts w:ascii="Calibri" w:hAnsi="Calibri"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Calibri" w:hAnsi="Calibri"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F13BBB"/>
    <w:multiLevelType w:val="hybridMultilevel"/>
    <w:tmpl w:val="52C4B65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386ADD"/>
    <w:multiLevelType w:val="hybridMultilevel"/>
    <w:tmpl w:val="FDC065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7DA3576"/>
    <w:multiLevelType w:val="hybridMultilevel"/>
    <w:tmpl w:val="5DE4628E"/>
    <w:lvl w:ilvl="0" w:tplc="AE78DF9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8CC0B2E"/>
    <w:multiLevelType w:val="hybridMultilevel"/>
    <w:tmpl w:val="08CE11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8D7232F"/>
    <w:multiLevelType w:val="hybridMultilevel"/>
    <w:tmpl w:val="E75A129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9"/>
  </w:num>
  <w:num w:numId="2">
    <w:abstractNumId w:val="24"/>
  </w:num>
  <w:num w:numId="3">
    <w:abstractNumId w:val="20"/>
  </w:num>
  <w:num w:numId="4">
    <w:abstractNumId w:val="17"/>
  </w:num>
  <w:num w:numId="5">
    <w:abstractNumId w:val="16"/>
  </w:num>
  <w:num w:numId="6">
    <w:abstractNumId w:val="14"/>
  </w:num>
  <w:num w:numId="7">
    <w:abstractNumId w:val="13"/>
  </w:num>
  <w:num w:numId="8">
    <w:abstractNumId w:val="3"/>
  </w:num>
  <w:num w:numId="9">
    <w:abstractNumId w:val="6"/>
  </w:num>
  <w:num w:numId="10">
    <w:abstractNumId w:val="10"/>
  </w:num>
  <w:num w:numId="11">
    <w:abstractNumId w:val="23"/>
  </w:num>
  <w:num w:numId="12">
    <w:abstractNumId w:val="35"/>
  </w:num>
  <w:num w:numId="13">
    <w:abstractNumId w:val="4"/>
  </w:num>
  <w:num w:numId="14">
    <w:abstractNumId w:val="21"/>
  </w:num>
  <w:num w:numId="15">
    <w:abstractNumId w:val="25"/>
  </w:num>
  <w:num w:numId="16">
    <w:abstractNumId w:val="11"/>
  </w:num>
  <w:num w:numId="17">
    <w:abstractNumId w:val="22"/>
  </w:num>
  <w:num w:numId="18">
    <w:abstractNumId w:val="15"/>
  </w:num>
  <w:num w:numId="19">
    <w:abstractNumId w:val="32"/>
  </w:num>
  <w:num w:numId="20">
    <w:abstractNumId w:val="33"/>
  </w:num>
  <w:num w:numId="21">
    <w:abstractNumId w:val="19"/>
  </w:num>
  <w:num w:numId="22">
    <w:abstractNumId w:val="9"/>
  </w:num>
  <w:num w:numId="23">
    <w:abstractNumId w:val="31"/>
  </w:num>
  <w:num w:numId="24">
    <w:abstractNumId w:val="40"/>
  </w:num>
  <w:num w:numId="25">
    <w:abstractNumId w:val="37"/>
  </w:num>
  <w:num w:numId="26">
    <w:abstractNumId w:val="18"/>
  </w:num>
  <w:num w:numId="27">
    <w:abstractNumId w:val="28"/>
  </w:num>
  <w:num w:numId="28">
    <w:abstractNumId w:val="30"/>
  </w:num>
  <w:num w:numId="29">
    <w:abstractNumId w:val="7"/>
  </w:num>
  <w:num w:numId="30">
    <w:abstractNumId w:val="26"/>
  </w:num>
  <w:num w:numId="31">
    <w:abstractNumId w:val="34"/>
  </w:num>
  <w:num w:numId="32">
    <w:abstractNumId w:val="12"/>
  </w:num>
  <w:num w:numId="33">
    <w:abstractNumId w:val="39"/>
  </w:num>
  <w:num w:numId="34">
    <w:abstractNumId w:val="1"/>
  </w:num>
  <w:num w:numId="35">
    <w:abstractNumId w:val="27"/>
  </w:num>
  <w:num w:numId="36">
    <w:abstractNumId w:val="0"/>
  </w:num>
  <w:num w:numId="37">
    <w:abstractNumId w:val="8"/>
  </w:num>
  <w:num w:numId="38">
    <w:abstractNumId w:val="5"/>
  </w:num>
  <w:num w:numId="39">
    <w:abstractNumId w:val="36"/>
  </w:num>
  <w:num w:numId="40">
    <w:abstractNumId w:val="3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51E"/>
    <w:rsid w:val="00006190"/>
    <w:rsid w:val="00025C0B"/>
    <w:rsid w:val="00054D24"/>
    <w:rsid w:val="000E67BF"/>
    <w:rsid w:val="00102B05"/>
    <w:rsid w:val="001360BC"/>
    <w:rsid w:val="0018534D"/>
    <w:rsid w:val="00192EE3"/>
    <w:rsid w:val="001D415E"/>
    <w:rsid w:val="00251EC9"/>
    <w:rsid w:val="003429F4"/>
    <w:rsid w:val="0039254D"/>
    <w:rsid w:val="003A76FB"/>
    <w:rsid w:val="00446639"/>
    <w:rsid w:val="0045251E"/>
    <w:rsid w:val="00491987"/>
    <w:rsid w:val="004A02CD"/>
    <w:rsid w:val="004D06DC"/>
    <w:rsid w:val="00580859"/>
    <w:rsid w:val="005C3807"/>
    <w:rsid w:val="00617EF9"/>
    <w:rsid w:val="006E0E9F"/>
    <w:rsid w:val="007B45BA"/>
    <w:rsid w:val="007D0CFF"/>
    <w:rsid w:val="007E0BEF"/>
    <w:rsid w:val="008B5685"/>
    <w:rsid w:val="008E5CF2"/>
    <w:rsid w:val="009219AF"/>
    <w:rsid w:val="009559ED"/>
    <w:rsid w:val="009A1050"/>
    <w:rsid w:val="009A4F38"/>
    <w:rsid w:val="009C512F"/>
    <w:rsid w:val="009E49E9"/>
    <w:rsid w:val="009E5FFD"/>
    <w:rsid w:val="00A21830"/>
    <w:rsid w:val="00A35921"/>
    <w:rsid w:val="00B00B67"/>
    <w:rsid w:val="00B34D2C"/>
    <w:rsid w:val="00B6504C"/>
    <w:rsid w:val="00B83111"/>
    <w:rsid w:val="00B93A85"/>
    <w:rsid w:val="00BA1937"/>
    <w:rsid w:val="00BA45F9"/>
    <w:rsid w:val="00D86626"/>
    <w:rsid w:val="00E04520"/>
    <w:rsid w:val="00EA1D55"/>
    <w:rsid w:val="00EB5275"/>
    <w:rsid w:val="00F16360"/>
    <w:rsid w:val="00F55F38"/>
    <w:rsid w:val="00FD4C4E"/>
    <w:rsid w:val="00FD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9198"/>
  <w15:chartTrackingRefBased/>
  <w15:docId w15:val="{7AC1ABF4-9F25-461B-B198-33AA357C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80859"/>
    <w:pPr>
      <w:shd w:val="clear" w:color="auto" w:fill="FFFFFF"/>
      <w:spacing w:after="0" w:line="450" w:lineRule="atLeast"/>
      <w:textAlignment w:val="baseline"/>
      <w:outlineLvl w:val="0"/>
    </w:pPr>
    <w:rPr>
      <w:rFonts w:ascii="Verdana" w:eastAsia="Times New Roman" w:hAnsi="Verdana" w:cs="Times New Roman"/>
      <w:b/>
      <w:bCs/>
      <w:color w:val="1675A3"/>
      <w:spacing w:val="-7"/>
      <w:kern w:val="36"/>
      <w:sz w:val="36"/>
      <w:szCs w:val="36"/>
    </w:rPr>
  </w:style>
  <w:style w:type="paragraph" w:styleId="Heading2">
    <w:name w:val="heading 2"/>
    <w:basedOn w:val="Normal"/>
    <w:link w:val="Heading2Char"/>
    <w:uiPriority w:val="9"/>
    <w:qFormat/>
    <w:rsid w:val="0018534D"/>
    <w:pPr>
      <w:shd w:val="clear" w:color="auto" w:fill="FFFFFF"/>
      <w:spacing w:after="150" w:line="240" w:lineRule="auto"/>
      <w:textAlignment w:val="baseline"/>
      <w:outlineLvl w:val="1"/>
    </w:pPr>
    <w:rPr>
      <w:rFonts w:ascii="Verdana" w:eastAsia="Times New Roman" w:hAnsi="Verdana" w:cs="Times New Roman"/>
      <w:b/>
      <w:bCs/>
      <w:color w:val="105272"/>
      <w:spacing w:val="-7"/>
      <w:sz w:val="30"/>
      <w:szCs w:val="30"/>
    </w:rPr>
  </w:style>
  <w:style w:type="paragraph" w:styleId="Heading3">
    <w:name w:val="heading 3"/>
    <w:basedOn w:val="Normal"/>
    <w:link w:val="Heading3Char"/>
    <w:uiPriority w:val="9"/>
    <w:qFormat/>
    <w:rsid w:val="00251EC9"/>
    <w:pPr>
      <w:shd w:val="clear" w:color="auto" w:fill="FFFFFF"/>
      <w:spacing w:after="150" w:line="540" w:lineRule="atLeast"/>
      <w:ind w:left="270"/>
      <w:textAlignment w:val="baseline"/>
      <w:outlineLvl w:val="2"/>
    </w:pPr>
    <w:rPr>
      <w:rFonts w:ascii="Verdana" w:eastAsia="Times New Roman" w:hAnsi="Verdana" w:cs="Times New Roman"/>
      <w:b/>
      <w:bCs/>
      <w:color w:val="3F3F3F"/>
      <w:spacing w:val="-1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859"/>
    <w:rPr>
      <w:rFonts w:ascii="Verdana" w:eastAsia="Times New Roman" w:hAnsi="Verdana" w:cs="Times New Roman"/>
      <w:b/>
      <w:bCs/>
      <w:color w:val="1675A3"/>
      <w:spacing w:val="-7"/>
      <w:kern w:val="36"/>
      <w:sz w:val="36"/>
      <w:szCs w:val="36"/>
      <w:shd w:val="clear" w:color="auto" w:fill="FFFFFF"/>
    </w:rPr>
  </w:style>
  <w:style w:type="character" w:customStyle="1" w:styleId="Heading2Char">
    <w:name w:val="Heading 2 Char"/>
    <w:basedOn w:val="DefaultParagraphFont"/>
    <w:link w:val="Heading2"/>
    <w:uiPriority w:val="9"/>
    <w:rsid w:val="0018534D"/>
    <w:rPr>
      <w:rFonts w:ascii="Verdana" w:eastAsia="Times New Roman" w:hAnsi="Verdana" w:cs="Times New Roman"/>
      <w:b/>
      <w:bCs/>
      <w:color w:val="105272"/>
      <w:spacing w:val="-7"/>
      <w:sz w:val="30"/>
      <w:szCs w:val="30"/>
      <w:shd w:val="clear" w:color="auto" w:fill="FFFFFF"/>
    </w:rPr>
  </w:style>
  <w:style w:type="character" w:customStyle="1" w:styleId="Heading3Char">
    <w:name w:val="Heading 3 Char"/>
    <w:basedOn w:val="DefaultParagraphFont"/>
    <w:link w:val="Heading3"/>
    <w:uiPriority w:val="9"/>
    <w:rsid w:val="00251EC9"/>
    <w:rPr>
      <w:rFonts w:ascii="Verdana" w:eastAsia="Times New Roman" w:hAnsi="Verdana" w:cs="Times New Roman"/>
      <w:b/>
      <w:bCs/>
      <w:color w:val="3F3F3F"/>
      <w:spacing w:val="-15"/>
      <w:sz w:val="24"/>
      <w:szCs w:val="24"/>
      <w:shd w:val="clear" w:color="auto" w:fill="FFFFFF"/>
    </w:rPr>
  </w:style>
  <w:style w:type="paragraph" w:styleId="NormalWeb">
    <w:name w:val="Normal (Web)"/>
    <w:basedOn w:val="Normal"/>
    <w:uiPriority w:val="99"/>
    <w:semiHidden/>
    <w:unhideWhenUsed/>
    <w:rsid w:val="004525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5251E"/>
    <w:rPr>
      <w:color w:val="0000FF"/>
      <w:u w:val="single"/>
    </w:rPr>
  </w:style>
  <w:style w:type="character" w:styleId="Strong">
    <w:name w:val="Strong"/>
    <w:basedOn w:val="DefaultParagraphFont"/>
    <w:uiPriority w:val="22"/>
    <w:qFormat/>
    <w:rsid w:val="0045251E"/>
    <w:rPr>
      <w:b/>
      <w:bCs/>
    </w:rPr>
  </w:style>
  <w:style w:type="paragraph" w:styleId="ListParagraph">
    <w:name w:val="List Paragraph"/>
    <w:basedOn w:val="Normal"/>
    <w:uiPriority w:val="34"/>
    <w:qFormat/>
    <w:rsid w:val="00491987"/>
    <w:pPr>
      <w:spacing w:after="0" w:line="240" w:lineRule="auto"/>
      <w:ind w:left="720"/>
      <w:contextualSpacing/>
    </w:pPr>
    <w:rPr>
      <w:rFonts w:ascii="Verdana" w:hAnsi="Verdana"/>
      <w:color w:val="44444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84A02-4792-4B32-A3B9-CB4E15FD4F33}">
  <ds:schemaRefs>
    <ds:schemaRef ds:uri="http://schemas.microsoft.com/office/2006/metadata/properties"/>
    <ds:schemaRef ds:uri="http://schemas.microsoft.com/office/infopath/2007/PartnerControls"/>
    <ds:schemaRef ds:uri="d90a9632-a870-49ae-9378-225bd5c60b0a"/>
  </ds:schemaRefs>
</ds:datastoreItem>
</file>

<file path=customXml/itemProps2.xml><?xml version="1.0" encoding="utf-8"?>
<ds:datastoreItem xmlns:ds="http://schemas.openxmlformats.org/officeDocument/2006/customXml" ds:itemID="{99697C60-F2DF-466C-8A29-711C1D469A3D}">
  <ds:schemaRefs>
    <ds:schemaRef ds:uri="http://schemas.microsoft.com/sharepoint/v3/contenttype/forms"/>
  </ds:schemaRefs>
</ds:datastoreItem>
</file>

<file path=customXml/itemProps3.xml><?xml version="1.0" encoding="utf-8"?>
<ds:datastoreItem xmlns:ds="http://schemas.openxmlformats.org/officeDocument/2006/customXml" ds:itemID="{ED6BA755-ED10-479E-ACD7-C234E09D3B0D}"/>
</file>

<file path=docProps/app.xml><?xml version="1.0" encoding="utf-8"?>
<Properties xmlns="http://schemas.openxmlformats.org/officeDocument/2006/extended-properties" xmlns:vt="http://schemas.openxmlformats.org/officeDocument/2006/docPropsVTypes">
  <Template>Normal.dotm</Template>
  <TotalTime>12</TotalTime>
  <Pages>5</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Legislative Overview</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Overview</dc:title>
  <dc:subject>Legislative Overview</dc:subject>
  <dc:creator>Chancellors Office</dc:creator>
  <cp:keywords/>
  <dc:description/>
  <cp:lastModifiedBy>Suvidha Bane</cp:lastModifiedBy>
  <cp:revision>2</cp:revision>
  <dcterms:created xsi:type="dcterms:W3CDTF">2021-01-19T07:35:00Z</dcterms:created>
  <dcterms:modified xsi:type="dcterms:W3CDTF">2021-01-19T07:35:00Z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