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1358" w14:textId="6D5AFEB2" w:rsidR="00051355" w:rsidRDefault="00051355" w:rsidP="00051355">
      <w:pPr>
        <w:pStyle w:val="Heading2"/>
        <w:jc w:val="center"/>
        <w:rPr>
          <w:b/>
          <w:bCs/>
        </w:rPr>
      </w:pPr>
      <w:r w:rsidRPr="00051355">
        <w:rPr>
          <w:b/>
          <w:bCs/>
          <w:noProof/>
        </w:rPr>
        <w:drawing>
          <wp:inline distT="0" distB="0" distL="0" distR="0" wp14:anchorId="56E9E4A1" wp14:editId="4A2CC13F">
            <wp:extent cx="5453744" cy="1371600"/>
            <wp:effectExtent l="0" t="0" r="0" b="0"/>
            <wp:docPr id="2" name="Picture 2" descr="The CAEP Logo positioned c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CAEP Logo positioned centered."/>
                    <pic:cNvPicPr/>
                  </pic:nvPicPr>
                  <pic:blipFill>
                    <a:blip r:embed="rId8"/>
                    <a:stretch>
                      <a:fillRect/>
                    </a:stretch>
                  </pic:blipFill>
                  <pic:spPr>
                    <a:xfrm>
                      <a:off x="0" y="0"/>
                      <a:ext cx="5453744" cy="1371600"/>
                    </a:xfrm>
                    <a:prstGeom prst="rect">
                      <a:avLst/>
                    </a:prstGeom>
                  </pic:spPr>
                </pic:pic>
              </a:graphicData>
            </a:graphic>
          </wp:inline>
        </w:drawing>
      </w:r>
    </w:p>
    <w:p w14:paraId="73F725E8" w14:textId="77777777" w:rsidR="00051355" w:rsidRPr="00051355" w:rsidRDefault="00051355" w:rsidP="00051355">
      <w:pPr>
        <w:rPr>
          <w:rFonts w:eastAsiaTheme="majorEastAsia"/>
        </w:rPr>
      </w:pPr>
    </w:p>
    <w:p w14:paraId="2F9B770E" w14:textId="77777777" w:rsidR="00051355" w:rsidRPr="00051355" w:rsidRDefault="00051355" w:rsidP="00051355">
      <w:pPr>
        <w:rPr>
          <w:rFonts w:eastAsiaTheme="majorEastAsia"/>
        </w:rPr>
      </w:pPr>
    </w:p>
    <w:p w14:paraId="179578DC" w14:textId="77777777" w:rsidR="00051355" w:rsidRDefault="00051355" w:rsidP="00051355">
      <w:pPr>
        <w:rPr>
          <w:rFonts w:asciiTheme="majorHAnsi" w:eastAsiaTheme="majorEastAsia" w:hAnsiTheme="majorHAnsi" w:cstheme="majorBidi"/>
          <w:b/>
          <w:bCs/>
          <w:color w:val="2F5496" w:themeColor="accent1" w:themeShade="BF"/>
          <w:sz w:val="26"/>
          <w:szCs w:val="26"/>
        </w:rPr>
      </w:pPr>
    </w:p>
    <w:p w14:paraId="2A24D96A" w14:textId="696522B6" w:rsidR="00051355" w:rsidRDefault="00051355" w:rsidP="00051355">
      <w:pPr>
        <w:tabs>
          <w:tab w:val="left" w:pos="2705"/>
        </w:tabs>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tab/>
      </w:r>
    </w:p>
    <w:p w14:paraId="24BC5936" w14:textId="730908FF" w:rsidR="00051355" w:rsidRPr="00051355" w:rsidRDefault="00051355" w:rsidP="00051355">
      <w:pPr>
        <w:pStyle w:val="Title"/>
        <w:spacing w:before="85"/>
        <w:ind w:left="1807" w:right="2824"/>
        <w:jc w:val="center"/>
        <w:rPr>
          <w:rFonts w:asciiTheme="minorHAnsi" w:hAnsiTheme="minorHAnsi" w:cstheme="minorHAnsi"/>
        </w:rPr>
      </w:pPr>
      <w:r w:rsidRPr="00051355">
        <w:rPr>
          <w:rFonts w:asciiTheme="minorHAnsi" w:hAnsiTheme="minorHAnsi" w:cstheme="minorHAnsi"/>
        </w:rPr>
        <w:t>Annual Plan</w:t>
      </w:r>
      <w:r w:rsidRPr="00051355">
        <w:rPr>
          <w:rFonts w:asciiTheme="minorHAnsi" w:hAnsiTheme="minorHAnsi" w:cstheme="minorHAnsi"/>
          <w:spacing w:val="1"/>
        </w:rPr>
        <w:t xml:space="preserve"> </w:t>
      </w:r>
      <w:r w:rsidRPr="00051355">
        <w:rPr>
          <w:rFonts w:asciiTheme="minorHAnsi" w:hAnsiTheme="minorHAnsi" w:cstheme="minorHAnsi"/>
        </w:rPr>
        <w:t>Guid</w:t>
      </w:r>
      <w:r w:rsidR="00DF631C">
        <w:rPr>
          <w:rFonts w:asciiTheme="minorHAnsi" w:hAnsiTheme="minorHAnsi" w:cstheme="minorHAnsi"/>
        </w:rPr>
        <w:t>ance</w:t>
      </w:r>
    </w:p>
    <w:p w14:paraId="68B74541" w14:textId="77777777" w:rsidR="00051355" w:rsidRPr="00051355" w:rsidRDefault="00051355" w:rsidP="00051355">
      <w:pPr>
        <w:pStyle w:val="BodyText"/>
        <w:spacing w:before="7"/>
        <w:rPr>
          <w:rFonts w:asciiTheme="minorHAnsi" w:hAnsiTheme="minorHAnsi" w:cstheme="minorHAnsi"/>
          <w:b/>
          <w:sz w:val="47"/>
        </w:rPr>
      </w:pPr>
    </w:p>
    <w:p w14:paraId="59E8CA3E" w14:textId="41D4A4B9" w:rsidR="00051355" w:rsidRPr="00051355" w:rsidRDefault="00051355" w:rsidP="00051355">
      <w:pPr>
        <w:ind w:left="1367" w:right="2386"/>
        <w:jc w:val="center"/>
        <w:rPr>
          <w:rFonts w:asciiTheme="minorHAnsi" w:hAnsiTheme="minorHAnsi" w:cstheme="minorHAnsi"/>
          <w:b/>
          <w:i/>
          <w:sz w:val="40"/>
        </w:rPr>
      </w:pPr>
    </w:p>
    <w:p w14:paraId="52A3A17C" w14:textId="77777777" w:rsidR="00051355" w:rsidRPr="00051355" w:rsidRDefault="00051355" w:rsidP="00051355">
      <w:pPr>
        <w:pStyle w:val="BodyText"/>
        <w:rPr>
          <w:rFonts w:asciiTheme="minorHAnsi" w:hAnsiTheme="minorHAnsi" w:cstheme="minorHAnsi"/>
          <w:b/>
          <w:i/>
          <w:sz w:val="44"/>
        </w:rPr>
      </w:pPr>
    </w:p>
    <w:p w14:paraId="6A7700A4" w14:textId="77777777" w:rsidR="00051355" w:rsidRPr="00051355" w:rsidRDefault="00051355" w:rsidP="00051355">
      <w:pPr>
        <w:pStyle w:val="BodyText"/>
        <w:spacing w:before="9"/>
        <w:rPr>
          <w:rFonts w:asciiTheme="minorHAnsi" w:hAnsiTheme="minorHAnsi" w:cstheme="minorHAnsi"/>
          <w:b/>
          <w:i/>
          <w:sz w:val="60"/>
        </w:rPr>
      </w:pPr>
    </w:p>
    <w:p w14:paraId="2252619A" w14:textId="77777777" w:rsidR="008E2551" w:rsidRDefault="00051355" w:rsidP="00051355">
      <w:pPr>
        <w:spacing w:line="247" w:lineRule="auto"/>
        <w:ind w:left="2157" w:right="3171"/>
        <w:jc w:val="center"/>
        <w:rPr>
          <w:rFonts w:asciiTheme="minorHAnsi" w:hAnsiTheme="minorHAnsi" w:cstheme="minorHAnsi"/>
          <w:spacing w:val="31"/>
          <w:sz w:val="31"/>
        </w:rPr>
      </w:pPr>
      <w:r w:rsidRPr="00051355">
        <w:rPr>
          <w:rFonts w:asciiTheme="minorHAnsi" w:hAnsiTheme="minorHAnsi" w:cstheme="minorHAnsi"/>
          <w:sz w:val="31"/>
        </w:rPr>
        <w:t>Funding</w:t>
      </w:r>
      <w:r w:rsidRPr="00051355">
        <w:rPr>
          <w:rFonts w:asciiTheme="minorHAnsi" w:hAnsiTheme="minorHAnsi" w:cstheme="minorHAnsi"/>
          <w:spacing w:val="29"/>
          <w:sz w:val="31"/>
        </w:rPr>
        <w:t xml:space="preserve"> </w:t>
      </w:r>
      <w:r w:rsidR="008E2551">
        <w:rPr>
          <w:rFonts w:asciiTheme="minorHAnsi" w:hAnsiTheme="minorHAnsi" w:cstheme="minorHAnsi"/>
          <w:sz w:val="31"/>
        </w:rPr>
        <w:t>S</w:t>
      </w:r>
      <w:r w:rsidRPr="00051355">
        <w:rPr>
          <w:rFonts w:asciiTheme="minorHAnsi" w:hAnsiTheme="minorHAnsi" w:cstheme="minorHAnsi"/>
          <w:sz w:val="31"/>
        </w:rPr>
        <w:t>ource:</w:t>
      </w:r>
      <w:r w:rsidRPr="00051355">
        <w:rPr>
          <w:rFonts w:asciiTheme="minorHAnsi" w:hAnsiTheme="minorHAnsi" w:cstheme="minorHAnsi"/>
          <w:spacing w:val="31"/>
          <w:sz w:val="31"/>
        </w:rPr>
        <w:t xml:space="preserve"> </w:t>
      </w:r>
    </w:p>
    <w:p w14:paraId="6D35EF45" w14:textId="77777777" w:rsidR="008E2551" w:rsidRDefault="00051355" w:rsidP="00051355">
      <w:pPr>
        <w:spacing w:line="247" w:lineRule="auto"/>
        <w:ind w:left="2157" w:right="3171"/>
        <w:jc w:val="center"/>
        <w:rPr>
          <w:rFonts w:asciiTheme="minorHAnsi" w:hAnsiTheme="minorHAnsi" w:cstheme="minorHAnsi"/>
          <w:sz w:val="31"/>
        </w:rPr>
      </w:pPr>
      <w:r w:rsidRPr="00051355">
        <w:rPr>
          <w:rFonts w:asciiTheme="minorHAnsi" w:hAnsiTheme="minorHAnsi" w:cstheme="minorHAnsi"/>
          <w:sz w:val="31"/>
        </w:rPr>
        <w:t>AB104,</w:t>
      </w:r>
      <w:r w:rsidRPr="00051355">
        <w:rPr>
          <w:rFonts w:asciiTheme="minorHAnsi" w:hAnsiTheme="minorHAnsi" w:cstheme="minorHAnsi"/>
          <w:spacing w:val="27"/>
          <w:sz w:val="31"/>
        </w:rPr>
        <w:t xml:space="preserve"> </w:t>
      </w:r>
      <w:r w:rsidRPr="00051355">
        <w:rPr>
          <w:rFonts w:asciiTheme="minorHAnsi" w:hAnsiTheme="minorHAnsi" w:cstheme="minorHAnsi"/>
          <w:sz w:val="31"/>
        </w:rPr>
        <w:t>Section</w:t>
      </w:r>
      <w:r w:rsidRPr="00051355">
        <w:rPr>
          <w:rFonts w:asciiTheme="minorHAnsi" w:hAnsiTheme="minorHAnsi" w:cstheme="minorHAnsi"/>
          <w:spacing w:val="27"/>
          <w:sz w:val="31"/>
        </w:rPr>
        <w:t xml:space="preserve"> </w:t>
      </w:r>
      <w:r w:rsidRPr="00051355">
        <w:rPr>
          <w:rFonts w:asciiTheme="minorHAnsi" w:hAnsiTheme="minorHAnsi" w:cstheme="minorHAnsi"/>
          <w:sz w:val="31"/>
        </w:rPr>
        <w:t xml:space="preserve">39, </w:t>
      </w:r>
      <w:r w:rsidRPr="00051355">
        <w:rPr>
          <w:rFonts w:asciiTheme="minorHAnsi" w:hAnsiTheme="minorHAnsi" w:cstheme="minorHAnsi"/>
          <w:spacing w:val="-83"/>
          <w:sz w:val="31"/>
        </w:rPr>
        <w:t xml:space="preserve"> </w:t>
      </w:r>
      <w:r w:rsidRPr="00051355">
        <w:rPr>
          <w:rFonts w:asciiTheme="minorHAnsi" w:hAnsiTheme="minorHAnsi" w:cstheme="minorHAnsi"/>
          <w:sz w:val="31"/>
        </w:rPr>
        <w:t>Article</w:t>
      </w:r>
      <w:r w:rsidRPr="00051355">
        <w:rPr>
          <w:rFonts w:asciiTheme="minorHAnsi" w:hAnsiTheme="minorHAnsi" w:cstheme="minorHAnsi"/>
          <w:spacing w:val="15"/>
          <w:sz w:val="31"/>
        </w:rPr>
        <w:t xml:space="preserve"> </w:t>
      </w:r>
      <w:r w:rsidRPr="00051355">
        <w:rPr>
          <w:rFonts w:asciiTheme="minorHAnsi" w:hAnsiTheme="minorHAnsi" w:cstheme="minorHAnsi"/>
          <w:sz w:val="31"/>
        </w:rPr>
        <w:t xml:space="preserve">9, </w:t>
      </w:r>
    </w:p>
    <w:p w14:paraId="29E6FB4D" w14:textId="4D771A3A" w:rsidR="00051355" w:rsidRPr="00051355" w:rsidRDefault="00051355" w:rsidP="00051355">
      <w:pPr>
        <w:spacing w:line="247" w:lineRule="auto"/>
        <w:ind w:left="2157" w:right="3171"/>
        <w:jc w:val="center"/>
        <w:rPr>
          <w:rFonts w:asciiTheme="minorHAnsi" w:hAnsiTheme="minorHAnsi" w:cstheme="minorHAnsi"/>
          <w:sz w:val="31"/>
        </w:rPr>
      </w:pPr>
      <w:r w:rsidRPr="00051355">
        <w:rPr>
          <w:rFonts w:asciiTheme="minorHAnsi" w:hAnsiTheme="minorHAnsi" w:cstheme="minorHAnsi"/>
          <w:sz w:val="31"/>
        </w:rPr>
        <w:t xml:space="preserve">in accordance to </w:t>
      </w:r>
    </w:p>
    <w:p w14:paraId="495A09D1" w14:textId="57DBE4D7" w:rsidR="00051355" w:rsidRPr="00051355" w:rsidRDefault="00051355" w:rsidP="00051355">
      <w:pPr>
        <w:spacing w:line="247" w:lineRule="auto"/>
        <w:ind w:left="2157" w:right="3171"/>
        <w:jc w:val="center"/>
        <w:rPr>
          <w:rFonts w:asciiTheme="minorHAnsi" w:hAnsiTheme="minorHAnsi" w:cstheme="minorHAnsi"/>
          <w:sz w:val="31"/>
        </w:rPr>
      </w:pPr>
      <w:r w:rsidRPr="00051355">
        <w:rPr>
          <w:rFonts w:asciiTheme="minorHAnsi" w:hAnsiTheme="minorHAnsi" w:cstheme="minorHAnsi"/>
        </w:rPr>
        <w:t>§84914(a)(2) and §84906(a)(1)</w:t>
      </w:r>
    </w:p>
    <w:p w14:paraId="4F302969" w14:textId="77777777" w:rsidR="00051355" w:rsidRPr="00051355" w:rsidRDefault="00051355" w:rsidP="00051355">
      <w:pPr>
        <w:spacing w:line="247" w:lineRule="auto"/>
        <w:ind w:left="2157" w:right="3171"/>
        <w:jc w:val="center"/>
        <w:rPr>
          <w:rFonts w:asciiTheme="minorHAnsi" w:hAnsiTheme="minorHAnsi" w:cstheme="minorHAnsi"/>
          <w:sz w:val="31"/>
        </w:rPr>
      </w:pPr>
    </w:p>
    <w:p w14:paraId="3B438398" w14:textId="77777777" w:rsidR="00051355" w:rsidRPr="00051355" w:rsidRDefault="00051355" w:rsidP="00051355">
      <w:pPr>
        <w:spacing w:line="247" w:lineRule="auto"/>
        <w:ind w:left="2157" w:right="3150"/>
        <w:jc w:val="center"/>
        <w:rPr>
          <w:rFonts w:asciiTheme="minorHAnsi" w:hAnsiTheme="minorHAnsi" w:cstheme="minorHAnsi"/>
          <w:spacing w:val="23"/>
          <w:sz w:val="31"/>
        </w:rPr>
      </w:pPr>
      <w:r w:rsidRPr="00051355">
        <w:rPr>
          <w:rFonts w:asciiTheme="minorHAnsi" w:hAnsiTheme="minorHAnsi" w:cstheme="minorHAnsi"/>
          <w:sz w:val="31"/>
        </w:rPr>
        <w:t>Version</w:t>
      </w:r>
      <w:r w:rsidRPr="00051355">
        <w:rPr>
          <w:rFonts w:asciiTheme="minorHAnsi" w:hAnsiTheme="minorHAnsi" w:cstheme="minorHAnsi"/>
          <w:spacing w:val="23"/>
          <w:sz w:val="31"/>
        </w:rPr>
        <w:t xml:space="preserve"> </w:t>
      </w:r>
      <w:r w:rsidRPr="00051355">
        <w:rPr>
          <w:rFonts w:asciiTheme="minorHAnsi" w:hAnsiTheme="minorHAnsi" w:cstheme="minorHAnsi"/>
          <w:sz w:val="31"/>
        </w:rPr>
        <w:t>1</w:t>
      </w:r>
      <w:r w:rsidRPr="00051355">
        <w:rPr>
          <w:rFonts w:asciiTheme="minorHAnsi" w:hAnsiTheme="minorHAnsi" w:cstheme="minorHAnsi"/>
          <w:spacing w:val="13"/>
          <w:sz w:val="31"/>
        </w:rPr>
        <w:t xml:space="preserve"> </w:t>
      </w:r>
      <w:r w:rsidRPr="00051355">
        <w:rPr>
          <w:rFonts w:asciiTheme="minorHAnsi" w:hAnsiTheme="minorHAnsi" w:cstheme="minorHAnsi"/>
          <w:sz w:val="31"/>
        </w:rPr>
        <w:t>Release:</w:t>
      </w:r>
      <w:r w:rsidRPr="00051355">
        <w:rPr>
          <w:rFonts w:asciiTheme="minorHAnsi" w:hAnsiTheme="minorHAnsi" w:cstheme="minorHAnsi"/>
          <w:spacing w:val="23"/>
          <w:sz w:val="31"/>
        </w:rPr>
        <w:t xml:space="preserve"> </w:t>
      </w:r>
    </w:p>
    <w:p w14:paraId="7474F759" w14:textId="6DFB61C1" w:rsidR="00051355" w:rsidRPr="00051355" w:rsidRDefault="00051355" w:rsidP="00051355">
      <w:pPr>
        <w:spacing w:line="247" w:lineRule="auto"/>
        <w:ind w:left="2157" w:right="3150"/>
        <w:jc w:val="center"/>
        <w:rPr>
          <w:rFonts w:asciiTheme="minorHAnsi" w:hAnsiTheme="minorHAnsi" w:cstheme="minorHAnsi"/>
          <w:sz w:val="31"/>
        </w:rPr>
      </w:pPr>
      <w:r w:rsidRPr="00051355">
        <w:rPr>
          <w:rFonts w:asciiTheme="minorHAnsi" w:hAnsiTheme="minorHAnsi" w:cstheme="minorHAnsi"/>
          <w:sz w:val="31"/>
        </w:rPr>
        <w:t>July</w:t>
      </w:r>
      <w:r w:rsidRPr="00051355">
        <w:rPr>
          <w:rFonts w:asciiTheme="minorHAnsi" w:hAnsiTheme="minorHAnsi" w:cstheme="minorHAnsi"/>
          <w:spacing w:val="32"/>
          <w:sz w:val="31"/>
        </w:rPr>
        <w:t xml:space="preserve"> </w:t>
      </w:r>
      <w:r w:rsidRPr="00051355">
        <w:rPr>
          <w:rFonts w:asciiTheme="minorHAnsi" w:hAnsiTheme="minorHAnsi" w:cstheme="minorHAnsi"/>
          <w:sz w:val="31"/>
        </w:rPr>
        <w:t>20, 2022</w:t>
      </w:r>
    </w:p>
    <w:p w14:paraId="28159F84" w14:textId="1D4381BB" w:rsidR="00051355" w:rsidRPr="00051355" w:rsidRDefault="00051355" w:rsidP="00051355">
      <w:pPr>
        <w:tabs>
          <w:tab w:val="left" w:pos="2705"/>
        </w:tabs>
        <w:sectPr w:rsidR="00051355" w:rsidRPr="00051355">
          <w:footerReference w:type="even" r:id="rId9"/>
          <w:footerReference w:type="default" r:id="rId10"/>
          <w:pgSz w:w="12240" w:h="15840"/>
          <w:pgMar w:top="1440" w:right="1440" w:bottom="1440" w:left="1440" w:header="720" w:footer="720" w:gutter="0"/>
          <w:cols w:space="720"/>
          <w:docGrid w:linePitch="360"/>
        </w:sectPr>
      </w:pPr>
      <w:r>
        <w:tab/>
      </w:r>
    </w:p>
    <w:p w14:paraId="3C394D3C" w14:textId="5A9B0FF9" w:rsidR="005C5CFC" w:rsidRPr="00A6394A" w:rsidRDefault="005173E7" w:rsidP="00A6394A">
      <w:pPr>
        <w:pStyle w:val="Heading2"/>
        <w:rPr>
          <w:b/>
          <w:bCs/>
        </w:rPr>
      </w:pPr>
      <w:r w:rsidRPr="00A6394A">
        <w:rPr>
          <w:b/>
          <w:bCs/>
        </w:rPr>
        <w:lastRenderedPageBreak/>
        <w:t>OVERVIEW</w:t>
      </w:r>
    </w:p>
    <w:p w14:paraId="09C0B74D" w14:textId="4144B168" w:rsidR="00A6394A" w:rsidRDefault="00A6394A" w:rsidP="005C5CFC"/>
    <w:p w14:paraId="0356B19C" w14:textId="6563EFF7" w:rsidR="00A6394A" w:rsidRPr="00057917" w:rsidRDefault="00311164" w:rsidP="00310EEC">
      <w:r w:rsidRPr="00057917">
        <w:rPr>
          <w:rFonts w:asciiTheme="minorHAnsi" w:hAnsiTheme="minorHAnsi" w:cstheme="minorHAnsi"/>
        </w:rPr>
        <w:t>The California Adult Education Program (CAEP) annual planning process</w:t>
      </w:r>
      <w:r w:rsidR="00310EEC" w:rsidRPr="00057917">
        <w:rPr>
          <w:rFonts w:asciiTheme="minorHAnsi" w:hAnsiTheme="minorHAnsi" w:cstheme="minorHAnsi"/>
        </w:rPr>
        <w:t xml:space="preserve"> along with the member work plan and budget</w:t>
      </w:r>
      <w:r w:rsidRPr="00057917">
        <w:rPr>
          <w:rFonts w:asciiTheme="minorHAnsi" w:hAnsiTheme="minorHAnsi" w:cstheme="minorHAnsi"/>
        </w:rPr>
        <w:t xml:space="preserve">, in accordance with </w:t>
      </w:r>
      <w:r w:rsidR="00D81E1A" w:rsidRPr="00057917">
        <w:rPr>
          <w:rFonts w:asciiTheme="minorHAnsi" w:hAnsiTheme="minorHAnsi" w:cstheme="minorHAnsi"/>
        </w:rPr>
        <w:t>§</w:t>
      </w:r>
      <w:r w:rsidRPr="00057917">
        <w:rPr>
          <w:rFonts w:asciiTheme="minorHAnsi" w:hAnsiTheme="minorHAnsi" w:cstheme="minorHAnsi"/>
        </w:rPr>
        <w:t>84914(a)(2)</w:t>
      </w:r>
      <w:r w:rsidR="00310EEC" w:rsidRPr="00057917">
        <w:rPr>
          <w:rFonts w:asciiTheme="minorHAnsi" w:hAnsiTheme="minorHAnsi" w:cstheme="minorHAnsi"/>
        </w:rPr>
        <w:t xml:space="preserve"> and </w:t>
      </w:r>
      <w:r w:rsidR="00D81E1A" w:rsidRPr="00057917">
        <w:rPr>
          <w:rFonts w:asciiTheme="minorHAnsi" w:hAnsiTheme="minorHAnsi" w:cstheme="minorHAnsi"/>
        </w:rPr>
        <w:t>§</w:t>
      </w:r>
      <w:r w:rsidR="00310EEC" w:rsidRPr="00057917">
        <w:rPr>
          <w:rFonts w:asciiTheme="minorHAnsi" w:hAnsiTheme="minorHAnsi" w:cstheme="minorHAnsi"/>
        </w:rPr>
        <w:t>84906(a)(1),</w:t>
      </w:r>
      <w:r w:rsidRPr="00057917">
        <w:rPr>
          <w:rFonts w:asciiTheme="minorHAnsi" w:hAnsiTheme="minorHAnsi" w:cstheme="minorHAnsi"/>
        </w:rPr>
        <w:t xml:space="preserve"> is designed to provide consortia and members an opportunity to </w:t>
      </w:r>
      <w:r w:rsidR="008968F1" w:rsidRPr="00057917">
        <w:rPr>
          <w:rFonts w:asciiTheme="minorHAnsi" w:hAnsiTheme="minorHAnsi" w:cstheme="minorHAnsi"/>
        </w:rPr>
        <w:t>review the</w:t>
      </w:r>
      <w:r w:rsidR="00131486" w:rsidRPr="00057917">
        <w:rPr>
          <w:rFonts w:asciiTheme="minorHAnsi" w:hAnsiTheme="minorHAnsi" w:cstheme="minorHAnsi"/>
        </w:rPr>
        <w:t xml:space="preserve"> current</w:t>
      </w:r>
      <w:r w:rsidR="008968F1" w:rsidRPr="00057917">
        <w:rPr>
          <w:rFonts w:asciiTheme="minorHAnsi" w:hAnsiTheme="minorHAnsi" w:cstheme="minorHAnsi"/>
        </w:rPr>
        <w:t xml:space="preserve"> </w:t>
      </w:r>
      <w:r w:rsidR="00057917" w:rsidRPr="00057917">
        <w:rPr>
          <w:rFonts w:asciiTheme="minorHAnsi" w:hAnsiTheme="minorHAnsi" w:cstheme="minorHAnsi"/>
        </w:rPr>
        <w:t>T</w:t>
      </w:r>
      <w:r w:rsidR="008968F1" w:rsidRPr="00057917">
        <w:rPr>
          <w:rFonts w:asciiTheme="minorHAnsi" w:hAnsiTheme="minorHAnsi" w:cstheme="minorHAnsi"/>
        </w:rPr>
        <w:t>hree-</w:t>
      </w:r>
      <w:r w:rsidR="00057917" w:rsidRPr="00057917">
        <w:rPr>
          <w:rFonts w:asciiTheme="minorHAnsi" w:hAnsiTheme="minorHAnsi" w:cstheme="minorHAnsi"/>
        </w:rPr>
        <w:t>Y</w:t>
      </w:r>
      <w:r w:rsidR="008968F1" w:rsidRPr="00057917">
        <w:rPr>
          <w:rFonts w:asciiTheme="minorHAnsi" w:hAnsiTheme="minorHAnsi" w:cstheme="minorHAnsi"/>
        </w:rPr>
        <w:t xml:space="preserve">ear </w:t>
      </w:r>
      <w:r w:rsidR="00057917" w:rsidRPr="00057917">
        <w:rPr>
          <w:rFonts w:asciiTheme="minorHAnsi" w:hAnsiTheme="minorHAnsi" w:cstheme="minorHAnsi"/>
        </w:rPr>
        <w:t>P</w:t>
      </w:r>
      <w:r w:rsidR="008968F1" w:rsidRPr="00057917">
        <w:rPr>
          <w:rFonts w:asciiTheme="minorHAnsi" w:hAnsiTheme="minorHAnsi" w:cstheme="minorHAnsi"/>
        </w:rPr>
        <w:t>lan</w:t>
      </w:r>
      <w:r w:rsidR="005E7314" w:rsidRPr="00057917">
        <w:rPr>
          <w:rFonts w:asciiTheme="minorHAnsi" w:hAnsiTheme="minorHAnsi" w:cstheme="minorHAnsi"/>
        </w:rPr>
        <w:t xml:space="preserve">, consider key accomplishments and challenges from the prior year, and outline goals and activities for the upcoming program year. The CAEP Annual Plan is a condition of </w:t>
      </w:r>
      <w:r w:rsidR="006C0387" w:rsidRPr="00057917">
        <w:rPr>
          <w:rFonts w:asciiTheme="minorHAnsi" w:hAnsiTheme="minorHAnsi" w:cstheme="minorHAnsi"/>
        </w:rPr>
        <w:t xml:space="preserve">receipt </w:t>
      </w:r>
      <w:r w:rsidR="005E7314" w:rsidRPr="00057917">
        <w:rPr>
          <w:rFonts w:asciiTheme="minorHAnsi" w:hAnsiTheme="minorHAnsi" w:cstheme="minorHAnsi"/>
        </w:rPr>
        <w:t>of an apportionment from CAEP and</w:t>
      </w:r>
      <w:r w:rsidR="006C0387" w:rsidRPr="00057917">
        <w:rPr>
          <w:rFonts w:asciiTheme="minorHAnsi" w:hAnsiTheme="minorHAnsi" w:cstheme="minorHAnsi"/>
        </w:rPr>
        <w:t xml:space="preserve"> is a justification demonstrating how planned allocations are consistent with the adult education plan</w:t>
      </w:r>
      <w:r w:rsidR="00310EEC" w:rsidRPr="00057917">
        <w:rPr>
          <w:rFonts w:asciiTheme="minorHAnsi" w:hAnsiTheme="minorHAnsi" w:cstheme="minorHAnsi"/>
        </w:rPr>
        <w:t xml:space="preserve"> (as mandated in </w:t>
      </w:r>
      <w:r w:rsidR="00D81E1A" w:rsidRPr="00057917">
        <w:rPr>
          <w:rFonts w:asciiTheme="minorHAnsi" w:hAnsiTheme="minorHAnsi" w:cstheme="minorHAnsi"/>
        </w:rPr>
        <w:t>§</w:t>
      </w:r>
      <w:r w:rsidR="00310EEC" w:rsidRPr="00057917">
        <w:rPr>
          <w:rFonts w:asciiTheme="minorHAnsi" w:hAnsiTheme="minorHAnsi" w:cstheme="minorHAnsi"/>
        </w:rPr>
        <w:t>84914(a)(2)).</w:t>
      </w:r>
    </w:p>
    <w:p w14:paraId="7F7A50CF" w14:textId="127B16E7" w:rsidR="006C0387" w:rsidRPr="00057917" w:rsidRDefault="006C0387" w:rsidP="001C06AC">
      <w:pPr>
        <w:jc w:val="both"/>
        <w:rPr>
          <w:rFonts w:asciiTheme="minorHAnsi" w:hAnsiTheme="minorHAnsi" w:cstheme="minorHAnsi"/>
        </w:rPr>
      </w:pPr>
    </w:p>
    <w:p w14:paraId="172A5F95" w14:textId="0ADF6070" w:rsidR="006C0387" w:rsidRDefault="006C0387" w:rsidP="001C06AC">
      <w:pPr>
        <w:jc w:val="both"/>
      </w:pPr>
      <w:r w:rsidRPr="00057917">
        <w:rPr>
          <w:rFonts w:asciiTheme="minorHAnsi" w:hAnsiTheme="minorHAnsi" w:cstheme="minorHAnsi"/>
        </w:rPr>
        <w:t xml:space="preserve">This document provides guidance and establishes procedures to complete and submit the CAEP Annual Plan using the California Community </w:t>
      </w:r>
      <w:r w:rsidR="00321B50" w:rsidRPr="00057917">
        <w:rPr>
          <w:rFonts w:asciiTheme="minorHAnsi" w:hAnsiTheme="minorHAnsi" w:cstheme="minorHAnsi"/>
        </w:rPr>
        <w:t>College Chancellor’s Office (CCCCO) NOVA online platform. Sections of this document correspond to sections</w:t>
      </w:r>
      <w:r w:rsidR="0022104A" w:rsidRPr="00057917">
        <w:rPr>
          <w:rFonts w:asciiTheme="minorHAnsi" w:hAnsiTheme="minorHAnsi" w:cstheme="minorHAnsi"/>
        </w:rPr>
        <w:t xml:space="preserve"> outlined</w:t>
      </w:r>
      <w:r w:rsidR="00321B50" w:rsidRPr="00057917">
        <w:rPr>
          <w:rFonts w:asciiTheme="minorHAnsi" w:hAnsiTheme="minorHAnsi" w:cstheme="minorHAnsi"/>
        </w:rPr>
        <w:t xml:space="preserve"> </w:t>
      </w:r>
      <w:r w:rsidR="0022104A" w:rsidRPr="00057917">
        <w:rPr>
          <w:rFonts w:asciiTheme="minorHAnsi" w:hAnsiTheme="minorHAnsi" w:cstheme="minorHAnsi"/>
        </w:rPr>
        <w:t xml:space="preserve">in </w:t>
      </w:r>
      <w:r w:rsidR="00321B50" w:rsidRPr="00057917">
        <w:rPr>
          <w:rFonts w:asciiTheme="minorHAnsi" w:hAnsiTheme="minorHAnsi" w:cstheme="minorHAnsi"/>
        </w:rPr>
        <w:t xml:space="preserve">the </w:t>
      </w:r>
      <w:r w:rsidR="00057917" w:rsidRPr="00057917">
        <w:rPr>
          <w:rFonts w:asciiTheme="minorHAnsi" w:hAnsiTheme="minorHAnsi" w:cstheme="minorHAnsi"/>
        </w:rPr>
        <w:t xml:space="preserve">Annual Plan </w:t>
      </w:r>
      <w:r w:rsidR="00321B50" w:rsidRPr="00057917">
        <w:rPr>
          <w:rFonts w:asciiTheme="minorHAnsi" w:hAnsiTheme="minorHAnsi" w:cstheme="minorHAnsi"/>
        </w:rPr>
        <w:t>as it appears in NOVA and describe</w:t>
      </w:r>
      <w:r w:rsidR="00E25873" w:rsidRPr="00057917">
        <w:rPr>
          <w:rFonts w:asciiTheme="minorHAnsi" w:hAnsiTheme="minorHAnsi" w:cstheme="minorHAnsi"/>
        </w:rPr>
        <w:t>s</w:t>
      </w:r>
      <w:r w:rsidR="00321B50" w:rsidRPr="00057917">
        <w:rPr>
          <w:rFonts w:asciiTheme="minorHAnsi" w:hAnsiTheme="minorHAnsi" w:cstheme="minorHAnsi"/>
        </w:rPr>
        <w:t xml:space="preserve"> the content that must be included in the consortium's response</w:t>
      </w:r>
      <w:r w:rsidR="00E25873" w:rsidRPr="00057917">
        <w:rPr>
          <w:rFonts w:asciiTheme="minorHAnsi" w:hAnsiTheme="minorHAnsi" w:cstheme="minorHAnsi"/>
        </w:rPr>
        <w:t>,</w:t>
      </w:r>
      <w:r w:rsidR="00321B50" w:rsidRPr="00057917">
        <w:rPr>
          <w:rFonts w:asciiTheme="minorHAnsi" w:hAnsiTheme="minorHAnsi" w:cstheme="minorHAnsi"/>
        </w:rPr>
        <w:t xml:space="preserve"> per California Education Code. This document provides details related to the transition from AB</w:t>
      </w:r>
      <w:r w:rsidR="00505461" w:rsidRPr="00057917">
        <w:rPr>
          <w:rFonts w:asciiTheme="minorHAnsi" w:hAnsiTheme="minorHAnsi" w:cstheme="minorHAnsi"/>
        </w:rPr>
        <w:t xml:space="preserve"> </w:t>
      </w:r>
      <w:r w:rsidR="00321B50" w:rsidRPr="00057917">
        <w:rPr>
          <w:rFonts w:asciiTheme="minorHAnsi" w:hAnsiTheme="minorHAnsi" w:cstheme="minorHAnsi"/>
        </w:rPr>
        <w:t>86 to AB</w:t>
      </w:r>
      <w:r w:rsidR="00505461" w:rsidRPr="00057917">
        <w:rPr>
          <w:rFonts w:asciiTheme="minorHAnsi" w:hAnsiTheme="minorHAnsi" w:cstheme="minorHAnsi"/>
        </w:rPr>
        <w:t xml:space="preserve"> </w:t>
      </w:r>
      <w:r w:rsidR="00321B50" w:rsidRPr="00057917">
        <w:rPr>
          <w:rFonts w:asciiTheme="minorHAnsi" w:hAnsiTheme="minorHAnsi" w:cstheme="minorHAnsi"/>
        </w:rPr>
        <w:t>104</w:t>
      </w:r>
      <w:r w:rsidR="00D03F23" w:rsidRPr="00057917">
        <w:rPr>
          <w:rFonts w:asciiTheme="minorHAnsi" w:hAnsiTheme="minorHAnsi" w:cstheme="minorHAnsi"/>
        </w:rPr>
        <w:t xml:space="preserve"> and step-by-step directions to complete in NOVA.</w:t>
      </w:r>
    </w:p>
    <w:p w14:paraId="2CEBE9FD" w14:textId="717C60F4" w:rsidR="00A6394A" w:rsidRDefault="00A6394A" w:rsidP="005C5CFC"/>
    <w:p w14:paraId="4BA06CDF" w14:textId="546C5238" w:rsidR="00A6394A" w:rsidRPr="00A6394A" w:rsidRDefault="00A6394A" w:rsidP="00A6394A">
      <w:pPr>
        <w:pStyle w:val="Heading2"/>
        <w:rPr>
          <w:b/>
          <w:bCs/>
        </w:rPr>
      </w:pPr>
      <w:r w:rsidRPr="00A6394A">
        <w:rPr>
          <w:b/>
          <w:bCs/>
        </w:rPr>
        <w:t>ANNUAL PLANNING PROCESS</w:t>
      </w:r>
    </w:p>
    <w:p w14:paraId="36E690A4" w14:textId="6C583ABF" w:rsidR="005C5CFC" w:rsidRDefault="005C5CFC" w:rsidP="005C5CFC"/>
    <w:p w14:paraId="0FD28FE0" w14:textId="175C287D" w:rsidR="008F40B7" w:rsidRPr="00057917" w:rsidRDefault="008F40B7" w:rsidP="00DD74E5">
      <w:pPr>
        <w:jc w:val="both"/>
        <w:rPr>
          <w:rFonts w:asciiTheme="minorHAnsi" w:hAnsiTheme="minorHAnsi" w:cstheme="minorHAnsi"/>
        </w:rPr>
      </w:pPr>
      <w:r w:rsidRPr="00203925">
        <w:rPr>
          <w:rFonts w:asciiTheme="minorHAnsi" w:hAnsiTheme="minorHAnsi" w:cstheme="minorHAnsi"/>
        </w:rPr>
        <w:t>The annual planning process is designed to be inclusive and collaborative among consortium members and entities that provide education and workforce services for adults in the region.</w:t>
      </w:r>
      <w:r w:rsidR="00AC1F35" w:rsidRPr="00203925">
        <w:rPr>
          <w:rFonts w:asciiTheme="minorHAnsi" w:hAnsiTheme="minorHAnsi" w:cstheme="minorHAnsi"/>
        </w:rPr>
        <w:t xml:space="preserve"> </w:t>
      </w:r>
      <w:hyperlink r:id="rId11" w:history="1">
        <w:r w:rsidR="00D81E1A">
          <w:rPr>
            <w:rStyle w:val="Hyperlink"/>
            <w:rFonts w:asciiTheme="minorHAnsi" w:hAnsiTheme="minorHAnsi" w:cstheme="minorHAnsi"/>
          </w:rPr>
          <w:t>California Education Code (§84914(a)(2))</w:t>
        </w:r>
      </w:hyperlink>
      <w:r w:rsidR="002D13DA" w:rsidRPr="00203925">
        <w:rPr>
          <w:rFonts w:asciiTheme="minorHAnsi" w:hAnsiTheme="minorHAnsi" w:cstheme="minorHAnsi"/>
        </w:rPr>
        <w:t xml:space="preserve"> </w:t>
      </w:r>
      <w:r w:rsidR="00310EEC">
        <w:rPr>
          <w:rFonts w:asciiTheme="minorHAnsi" w:hAnsiTheme="minorHAnsi" w:cstheme="minorHAnsi"/>
        </w:rPr>
        <w:t xml:space="preserve">and </w:t>
      </w:r>
      <w:hyperlink r:id="rId12" w:history="1">
        <w:r w:rsidR="00D81E1A">
          <w:rPr>
            <w:rStyle w:val="Hyperlink"/>
            <w:rFonts w:asciiTheme="minorHAnsi" w:hAnsiTheme="minorHAnsi" w:cstheme="minorHAnsi"/>
          </w:rPr>
          <w:t>§84906(a)(1)</w:t>
        </w:r>
      </w:hyperlink>
      <w:r w:rsidR="00310EEC">
        <w:rPr>
          <w:rFonts w:asciiTheme="minorHAnsi" w:hAnsiTheme="minorHAnsi" w:cstheme="minorHAnsi"/>
        </w:rPr>
        <w:t xml:space="preserve"> </w:t>
      </w:r>
      <w:r w:rsidR="002D13DA" w:rsidRPr="00203925">
        <w:rPr>
          <w:rFonts w:asciiTheme="minorHAnsi" w:hAnsiTheme="minorHAnsi" w:cstheme="minorHAnsi"/>
        </w:rPr>
        <w:t xml:space="preserve">outlines </w:t>
      </w:r>
      <w:r w:rsidR="001C06AC" w:rsidRPr="00203925">
        <w:rPr>
          <w:rFonts w:asciiTheme="minorHAnsi" w:hAnsiTheme="minorHAnsi" w:cstheme="minorHAnsi"/>
        </w:rPr>
        <w:t xml:space="preserve">the requirements of the </w:t>
      </w:r>
      <w:r w:rsidR="00057917" w:rsidRPr="00057917">
        <w:rPr>
          <w:rFonts w:asciiTheme="minorHAnsi" w:hAnsiTheme="minorHAnsi" w:cstheme="minorHAnsi"/>
        </w:rPr>
        <w:t>Annual Plan</w:t>
      </w:r>
      <w:r w:rsidR="00CD1692" w:rsidRPr="00057917">
        <w:rPr>
          <w:rFonts w:asciiTheme="minorHAnsi" w:hAnsiTheme="minorHAnsi" w:cstheme="minorHAnsi"/>
        </w:rPr>
        <w:t xml:space="preserve">. To develop the </w:t>
      </w:r>
      <w:r w:rsidR="00057917" w:rsidRPr="00057917">
        <w:rPr>
          <w:rFonts w:asciiTheme="minorHAnsi" w:hAnsiTheme="minorHAnsi" w:cstheme="minorHAnsi"/>
        </w:rPr>
        <w:t>Annual Plan</w:t>
      </w:r>
      <w:r w:rsidR="00CD1692" w:rsidRPr="00057917">
        <w:rPr>
          <w:rFonts w:asciiTheme="minorHAnsi" w:hAnsiTheme="minorHAnsi" w:cstheme="minorHAnsi"/>
        </w:rPr>
        <w:t xml:space="preserve">, consortium members will review the current </w:t>
      </w:r>
      <w:r w:rsidR="00057917" w:rsidRPr="00057917">
        <w:rPr>
          <w:rFonts w:asciiTheme="minorHAnsi" w:hAnsiTheme="minorHAnsi" w:cstheme="minorHAnsi"/>
        </w:rPr>
        <w:t>T</w:t>
      </w:r>
      <w:r w:rsidR="00CD1692" w:rsidRPr="00057917">
        <w:rPr>
          <w:rFonts w:asciiTheme="minorHAnsi" w:hAnsiTheme="minorHAnsi" w:cstheme="minorHAnsi"/>
        </w:rPr>
        <w:t>hree-</w:t>
      </w:r>
      <w:r w:rsidR="00057917" w:rsidRPr="00057917">
        <w:rPr>
          <w:rFonts w:asciiTheme="minorHAnsi" w:hAnsiTheme="minorHAnsi" w:cstheme="minorHAnsi"/>
        </w:rPr>
        <w:t>Y</w:t>
      </w:r>
      <w:r w:rsidR="00CD1692" w:rsidRPr="00057917">
        <w:rPr>
          <w:rFonts w:asciiTheme="minorHAnsi" w:hAnsiTheme="minorHAnsi" w:cstheme="minorHAnsi"/>
        </w:rPr>
        <w:t xml:space="preserve">ear </w:t>
      </w:r>
      <w:r w:rsidR="00057917" w:rsidRPr="00057917">
        <w:rPr>
          <w:rFonts w:asciiTheme="minorHAnsi" w:hAnsiTheme="minorHAnsi" w:cstheme="minorHAnsi"/>
        </w:rPr>
        <w:t>P</w:t>
      </w:r>
      <w:r w:rsidR="00CD1692" w:rsidRPr="00057917">
        <w:rPr>
          <w:rFonts w:asciiTheme="minorHAnsi" w:hAnsiTheme="minorHAnsi" w:cstheme="minorHAnsi"/>
        </w:rPr>
        <w:t>lan</w:t>
      </w:r>
      <w:r w:rsidR="00EF7EED" w:rsidRPr="00057917">
        <w:rPr>
          <w:rFonts w:asciiTheme="minorHAnsi" w:hAnsiTheme="minorHAnsi" w:cstheme="minorHAnsi"/>
        </w:rPr>
        <w:t>,</w:t>
      </w:r>
      <w:r w:rsidR="00CD1692" w:rsidRPr="00057917">
        <w:rPr>
          <w:rFonts w:asciiTheme="minorHAnsi" w:hAnsiTheme="minorHAnsi" w:cstheme="minorHAnsi"/>
        </w:rPr>
        <w:t xml:space="preserve"> including </w:t>
      </w:r>
      <w:r w:rsidR="00EF7EED" w:rsidRPr="00057917">
        <w:rPr>
          <w:rFonts w:asciiTheme="minorHAnsi" w:hAnsiTheme="minorHAnsi" w:cstheme="minorHAnsi"/>
        </w:rPr>
        <w:t>the identified objectives, the activities/strategies to address the objectives, and the metrics that apply to the activity/strategy.</w:t>
      </w:r>
      <w:r w:rsidR="00DD74E5" w:rsidRPr="00057917">
        <w:rPr>
          <w:rFonts w:asciiTheme="minorHAnsi" w:hAnsiTheme="minorHAnsi" w:cstheme="minorHAnsi"/>
        </w:rPr>
        <w:t xml:space="preserve"> Additionally, consortium members will examine the planned allocations, including carry-over, and how the allocations will be consistent with the </w:t>
      </w:r>
      <w:r w:rsidR="00057917" w:rsidRPr="00057917">
        <w:rPr>
          <w:rFonts w:asciiTheme="minorHAnsi" w:hAnsiTheme="minorHAnsi" w:cstheme="minorHAnsi"/>
        </w:rPr>
        <w:t>Annual Plan</w:t>
      </w:r>
      <w:r w:rsidR="00DD74E5" w:rsidRPr="00057917">
        <w:rPr>
          <w:rFonts w:asciiTheme="minorHAnsi" w:hAnsiTheme="minorHAnsi" w:cstheme="minorHAnsi"/>
        </w:rPr>
        <w:t>. The</w:t>
      </w:r>
      <w:r w:rsidR="0048310A" w:rsidRPr="00057917">
        <w:rPr>
          <w:rFonts w:asciiTheme="minorHAnsi" w:hAnsiTheme="minorHAnsi" w:cstheme="minorHAnsi"/>
        </w:rPr>
        <w:t xml:space="preserve"> </w:t>
      </w:r>
      <w:r w:rsidR="00057917" w:rsidRPr="00057917">
        <w:rPr>
          <w:rFonts w:asciiTheme="minorHAnsi" w:hAnsiTheme="minorHAnsi" w:cstheme="minorHAnsi"/>
        </w:rPr>
        <w:t xml:space="preserve">Annual Plan </w:t>
      </w:r>
      <w:r w:rsidR="00DD74E5" w:rsidRPr="00057917">
        <w:rPr>
          <w:rFonts w:asciiTheme="minorHAnsi" w:hAnsiTheme="minorHAnsi" w:cstheme="minorHAnsi"/>
        </w:rPr>
        <w:t xml:space="preserve">will serve as a guide for the consortium and its members </w:t>
      </w:r>
      <w:r w:rsidR="00053307" w:rsidRPr="00057917">
        <w:rPr>
          <w:rFonts w:asciiTheme="minorHAnsi" w:hAnsiTheme="minorHAnsi" w:cstheme="minorHAnsi"/>
        </w:rPr>
        <w:t>over one program year.</w:t>
      </w:r>
    </w:p>
    <w:p w14:paraId="6C93F83C" w14:textId="03A715EE" w:rsidR="00053307" w:rsidRPr="00057917" w:rsidRDefault="00053307" w:rsidP="00DD74E5">
      <w:pPr>
        <w:jc w:val="both"/>
        <w:rPr>
          <w:rFonts w:asciiTheme="minorHAnsi" w:hAnsiTheme="minorHAnsi" w:cstheme="minorHAnsi"/>
        </w:rPr>
      </w:pPr>
    </w:p>
    <w:p w14:paraId="3C00EFF4" w14:textId="1A1CF3F7" w:rsidR="00053307" w:rsidRPr="00203925" w:rsidRDefault="00053307" w:rsidP="00DD74E5">
      <w:pPr>
        <w:jc w:val="both"/>
        <w:rPr>
          <w:rFonts w:asciiTheme="minorHAnsi" w:hAnsiTheme="minorHAnsi" w:cstheme="minorHAnsi"/>
        </w:rPr>
      </w:pPr>
      <w:r w:rsidRPr="00057917">
        <w:rPr>
          <w:rFonts w:asciiTheme="minorHAnsi" w:hAnsiTheme="minorHAnsi" w:cstheme="minorHAnsi"/>
        </w:rPr>
        <w:t xml:space="preserve">The </w:t>
      </w:r>
      <w:r w:rsidR="00057917" w:rsidRPr="00057917">
        <w:rPr>
          <w:rFonts w:asciiTheme="minorHAnsi" w:hAnsiTheme="minorHAnsi" w:cstheme="minorHAnsi"/>
        </w:rPr>
        <w:t xml:space="preserve">Annual Plan </w:t>
      </w:r>
      <w:r w:rsidR="00B20FB7" w:rsidRPr="00057917">
        <w:rPr>
          <w:rFonts w:asciiTheme="minorHAnsi" w:hAnsiTheme="minorHAnsi" w:cstheme="minorHAnsi"/>
        </w:rPr>
        <w:t>guidance</w:t>
      </w:r>
      <w:r w:rsidRPr="00057917">
        <w:rPr>
          <w:rFonts w:asciiTheme="minorHAnsi" w:hAnsiTheme="minorHAnsi" w:cstheme="minorHAnsi"/>
        </w:rPr>
        <w:t xml:space="preserve"> is organized around the following sections:</w:t>
      </w:r>
    </w:p>
    <w:p w14:paraId="19FE7947" w14:textId="527F599B" w:rsidR="00053307" w:rsidRDefault="00053307" w:rsidP="00DD74E5">
      <w:pPr>
        <w:jc w:val="both"/>
      </w:pPr>
    </w:p>
    <w:tbl>
      <w:tblPr>
        <w:tblStyle w:val="TableGrid"/>
        <w:tblW w:w="0" w:type="auto"/>
        <w:tblLook w:val="04A0" w:firstRow="1" w:lastRow="0" w:firstColumn="1" w:lastColumn="0" w:noHBand="0" w:noVBand="1"/>
      </w:tblPr>
      <w:tblGrid>
        <w:gridCol w:w="2605"/>
        <w:gridCol w:w="6745"/>
      </w:tblGrid>
      <w:tr w:rsidR="00A431CA" w14:paraId="3470ECBA" w14:textId="77777777" w:rsidTr="000879ED">
        <w:tc>
          <w:tcPr>
            <w:tcW w:w="2605" w:type="dxa"/>
            <w:shd w:val="clear" w:color="auto" w:fill="8EAADB" w:themeFill="accent1" w:themeFillTint="99"/>
          </w:tcPr>
          <w:p w14:paraId="11EA75F2" w14:textId="363D342D" w:rsidR="00A431CA" w:rsidRPr="00203925" w:rsidRDefault="00A431CA" w:rsidP="00DD74E5">
            <w:pPr>
              <w:jc w:val="both"/>
              <w:rPr>
                <w:rFonts w:asciiTheme="minorHAnsi" w:hAnsiTheme="minorHAnsi" w:cstheme="minorHAnsi"/>
                <w:b/>
                <w:bCs/>
              </w:rPr>
            </w:pPr>
            <w:r w:rsidRPr="00203925">
              <w:rPr>
                <w:rFonts w:asciiTheme="minorHAnsi" w:hAnsiTheme="minorHAnsi" w:cstheme="minorHAnsi"/>
                <w:b/>
                <w:bCs/>
              </w:rPr>
              <w:t>Section</w:t>
            </w:r>
          </w:p>
        </w:tc>
        <w:tc>
          <w:tcPr>
            <w:tcW w:w="6745" w:type="dxa"/>
            <w:shd w:val="clear" w:color="auto" w:fill="8EAADB" w:themeFill="accent1" w:themeFillTint="99"/>
          </w:tcPr>
          <w:p w14:paraId="6ABB747E" w14:textId="19B1D9E4" w:rsidR="00A431CA" w:rsidRPr="00203925" w:rsidRDefault="00A431CA" w:rsidP="00DD74E5">
            <w:pPr>
              <w:jc w:val="both"/>
              <w:rPr>
                <w:rFonts w:asciiTheme="minorHAnsi" w:hAnsiTheme="minorHAnsi" w:cstheme="minorHAnsi"/>
                <w:b/>
                <w:bCs/>
              </w:rPr>
            </w:pPr>
            <w:r w:rsidRPr="00203925">
              <w:rPr>
                <w:rFonts w:asciiTheme="minorHAnsi" w:hAnsiTheme="minorHAnsi" w:cstheme="minorHAnsi"/>
                <w:b/>
                <w:bCs/>
              </w:rPr>
              <w:t>Instructions</w:t>
            </w:r>
          </w:p>
        </w:tc>
      </w:tr>
      <w:tr w:rsidR="00A431CA" w14:paraId="0AA0A9A7" w14:textId="77777777" w:rsidTr="000879ED">
        <w:tc>
          <w:tcPr>
            <w:tcW w:w="2605" w:type="dxa"/>
          </w:tcPr>
          <w:p w14:paraId="51B499E1" w14:textId="77777777" w:rsidR="000879ED" w:rsidRPr="00203925" w:rsidRDefault="00A431CA" w:rsidP="00A431CA">
            <w:pPr>
              <w:rPr>
                <w:rFonts w:asciiTheme="minorHAnsi" w:hAnsiTheme="minorHAnsi" w:cstheme="minorHAnsi"/>
              </w:rPr>
            </w:pPr>
            <w:r w:rsidRPr="00203925">
              <w:rPr>
                <w:rFonts w:asciiTheme="minorHAnsi" w:hAnsiTheme="minorHAnsi" w:cstheme="minorHAnsi"/>
              </w:rPr>
              <w:t xml:space="preserve">Section 1: </w:t>
            </w:r>
          </w:p>
          <w:p w14:paraId="4CE253D6" w14:textId="44AA3B60" w:rsidR="00A431CA" w:rsidRPr="00203925" w:rsidRDefault="00A431CA" w:rsidP="00A431CA">
            <w:pPr>
              <w:rPr>
                <w:rFonts w:asciiTheme="minorHAnsi" w:hAnsiTheme="minorHAnsi" w:cstheme="minorHAnsi"/>
              </w:rPr>
            </w:pPr>
            <w:r w:rsidRPr="00203925">
              <w:rPr>
                <w:rFonts w:asciiTheme="minorHAnsi" w:hAnsiTheme="minorHAnsi" w:cstheme="minorHAnsi"/>
              </w:rPr>
              <w:t>Plans and Goals</w:t>
            </w:r>
          </w:p>
        </w:tc>
        <w:tc>
          <w:tcPr>
            <w:tcW w:w="6745" w:type="dxa"/>
          </w:tcPr>
          <w:p w14:paraId="21B728B0" w14:textId="31E3C7C0" w:rsidR="00A431CA" w:rsidRPr="00203925" w:rsidRDefault="00943468" w:rsidP="00DD74E5">
            <w:pPr>
              <w:jc w:val="both"/>
              <w:rPr>
                <w:rFonts w:asciiTheme="minorHAnsi" w:hAnsiTheme="minorHAnsi" w:cstheme="minorHAnsi"/>
              </w:rPr>
            </w:pPr>
            <w:r>
              <w:rPr>
                <w:rFonts w:asciiTheme="minorHAnsi" w:hAnsiTheme="minorHAnsi" w:cstheme="minorHAnsi"/>
              </w:rPr>
              <w:t>Identify</w:t>
            </w:r>
            <w:r w:rsidR="00372621" w:rsidRPr="00372621">
              <w:rPr>
                <w:rFonts w:asciiTheme="minorHAnsi" w:hAnsiTheme="minorHAnsi" w:cstheme="minorHAnsi"/>
              </w:rPr>
              <w:t xml:space="preserve"> an executive summary, a regional planning overview, and how the </w:t>
            </w:r>
            <w:r w:rsidR="00057917" w:rsidRPr="00057917">
              <w:rPr>
                <w:rFonts w:asciiTheme="minorHAnsi" w:hAnsiTheme="minorHAnsi" w:cstheme="minorHAnsi"/>
              </w:rPr>
              <w:t>Annual Plan</w:t>
            </w:r>
            <w:r w:rsidR="00057917" w:rsidRPr="00372621">
              <w:rPr>
                <w:rFonts w:asciiTheme="minorHAnsi" w:hAnsiTheme="minorHAnsi" w:cstheme="minorHAnsi"/>
              </w:rPr>
              <w:t xml:space="preserve"> </w:t>
            </w:r>
            <w:r w:rsidR="00372621" w:rsidRPr="00372621">
              <w:rPr>
                <w:rFonts w:asciiTheme="minorHAnsi" w:hAnsiTheme="minorHAnsi" w:cstheme="minorHAnsi"/>
              </w:rPr>
              <w:t>will meet the identified regional needs.</w:t>
            </w:r>
          </w:p>
        </w:tc>
      </w:tr>
      <w:tr w:rsidR="00A431CA" w14:paraId="6E1F565C" w14:textId="77777777" w:rsidTr="000879ED">
        <w:tc>
          <w:tcPr>
            <w:tcW w:w="2605" w:type="dxa"/>
          </w:tcPr>
          <w:p w14:paraId="07BC9B33" w14:textId="0083D8AA" w:rsidR="00A431CA" w:rsidRPr="00203925" w:rsidRDefault="000879ED" w:rsidP="000879ED">
            <w:pPr>
              <w:rPr>
                <w:rFonts w:asciiTheme="minorHAnsi" w:hAnsiTheme="minorHAnsi" w:cstheme="minorHAnsi"/>
              </w:rPr>
            </w:pPr>
            <w:r w:rsidRPr="00203925">
              <w:rPr>
                <w:rFonts w:asciiTheme="minorHAnsi" w:hAnsiTheme="minorHAnsi" w:cstheme="minorHAnsi"/>
              </w:rPr>
              <w:t>Section 2: Address Educational Needs</w:t>
            </w:r>
          </w:p>
        </w:tc>
        <w:tc>
          <w:tcPr>
            <w:tcW w:w="6745" w:type="dxa"/>
          </w:tcPr>
          <w:p w14:paraId="699AAE58" w14:textId="2E2BADC0" w:rsidR="00A431CA" w:rsidRPr="00203925" w:rsidRDefault="00F10CA4" w:rsidP="00DD74E5">
            <w:pPr>
              <w:jc w:val="both"/>
              <w:rPr>
                <w:rFonts w:asciiTheme="minorHAnsi" w:hAnsiTheme="minorHAnsi" w:cstheme="minorHAnsi"/>
              </w:rPr>
            </w:pPr>
            <w:r>
              <w:rPr>
                <w:rFonts w:asciiTheme="minorHAnsi" w:hAnsiTheme="minorHAnsi" w:cstheme="minorHAnsi"/>
              </w:rPr>
              <w:t>Define the strategies to address the activities, barriers and metrics.</w:t>
            </w:r>
          </w:p>
        </w:tc>
      </w:tr>
      <w:tr w:rsidR="00A431CA" w14:paraId="546106AF" w14:textId="77777777" w:rsidTr="000879ED">
        <w:tc>
          <w:tcPr>
            <w:tcW w:w="2605" w:type="dxa"/>
          </w:tcPr>
          <w:p w14:paraId="12FD5F8D" w14:textId="3FD66B27" w:rsidR="00A431CA" w:rsidRPr="00203925" w:rsidRDefault="000879ED" w:rsidP="000879ED">
            <w:pPr>
              <w:rPr>
                <w:rFonts w:asciiTheme="minorHAnsi" w:hAnsiTheme="minorHAnsi" w:cstheme="minorHAnsi"/>
              </w:rPr>
            </w:pPr>
            <w:r w:rsidRPr="00203925">
              <w:rPr>
                <w:rFonts w:asciiTheme="minorHAnsi" w:hAnsiTheme="minorHAnsi" w:cstheme="minorHAnsi"/>
              </w:rPr>
              <w:t>Section 3: Improve Integration of Services &amp; Transitions</w:t>
            </w:r>
          </w:p>
        </w:tc>
        <w:tc>
          <w:tcPr>
            <w:tcW w:w="6745" w:type="dxa"/>
          </w:tcPr>
          <w:p w14:paraId="1D4753A8" w14:textId="4834D712" w:rsidR="00A431CA" w:rsidRPr="00203925" w:rsidRDefault="00F10CA4" w:rsidP="00DD74E5">
            <w:pPr>
              <w:jc w:val="both"/>
              <w:rPr>
                <w:rFonts w:asciiTheme="minorHAnsi" w:hAnsiTheme="minorHAnsi" w:cstheme="minorHAnsi"/>
              </w:rPr>
            </w:pPr>
            <w:r>
              <w:rPr>
                <w:rFonts w:asciiTheme="minorHAnsi" w:hAnsiTheme="minorHAnsi" w:cstheme="minorHAnsi"/>
              </w:rPr>
              <w:t>Define the strategies to address the activities, barriers and metrics.</w:t>
            </w:r>
          </w:p>
        </w:tc>
      </w:tr>
      <w:tr w:rsidR="00A431CA" w14:paraId="3CAA8063" w14:textId="77777777" w:rsidTr="000879ED">
        <w:tc>
          <w:tcPr>
            <w:tcW w:w="2605" w:type="dxa"/>
          </w:tcPr>
          <w:p w14:paraId="6DCE7EE8" w14:textId="180B4B24" w:rsidR="00A431CA" w:rsidRPr="00203925" w:rsidRDefault="000879ED" w:rsidP="000879ED">
            <w:pPr>
              <w:rPr>
                <w:rFonts w:asciiTheme="minorHAnsi" w:hAnsiTheme="minorHAnsi" w:cstheme="minorHAnsi"/>
              </w:rPr>
            </w:pPr>
            <w:r w:rsidRPr="00203925">
              <w:rPr>
                <w:rFonts w:asciiTheme="minorHAnsi" w:hAnsiTheme="minorHAnsi" w:cstheme="minorHAnsi"/>
              </w:rPr>
              <w:t>Section 4: Improve Effectiveness of Services</w:t>
            </w:r>
          </w:p>
        </w:tc>
        <w:tc>
          <w:tcPr>
            <w:tcW w:w="6745" w:type="dxa"/>
          </w:tcPr>
          <w:p w14:paraId="25E77CC6" w14:textId="2FA0F21C" w:rsidR="00A431CA" w:rsidRPr="00203925" w:rsidRDefault="00F10CA4" w:rsidP="00DD74E5">
            <w:pPr>
              <w:jc w:val="both"/>
              <w:rPr>
                <w:rFonts w:asciiTheme="minorHAnsi" w:hAnsiTheme="minorHAnsi" w:cstheme="minorHAnsi"/>
              </w:rPr>
            </w:pPr>
            <w:r>
              <w:rPr>
                <w:rFonts w:asciiTheme="minorHAnsi" w:hAnsiTheme="minorHAnsi" w:cstheme="minorHAnsi"/>
              </w:rPr>
              <w:t>Define the strategies to address the activities, barriers and metrics.</w:t>
            </w:r>
          </w:p>
        </w:tc>
      </w:tr>
      <w:tr w:rsidR="00A431CA" w14:paraId="34D15BFB" w14:textId="77777777" w:rsidTr="000879ED">
        <w:tc>
          <w:tcPr>
            <w:tcW w:w="2605" w:type="dxa"/>
          </w:tcPr>
          <w:p w14:paraId="16FEC230" w14:textId="77777777" w:rsidR="000879ED" w:rsidRPr="00203925" w:rsidRDefault="000879ED" w:rsidP="000879ED">
            <w:pPr>
              <w:rPr>
                <w:rFonts w:asciiTheme="minorHAnsi" w:hAnsiTheme="minorHAnsi" w:cstheme="minorHAnsi"/>
              </w:rPr>
            </w:pPr>
            <w:r w:rsidRPr="00203925">
              <w:rPr>
                <w:rFonts w:asciiTheme="minorHAnsi" w:hAnsiTheme="minorHAnsi" w:cstheme="minorHAnsi"/>
              </w:rPr>
              <w:lastRenderedPageBreak/>
              <w:t xml:space="preserve">Section 5: </w:t>
            </w:r>
          </w:p>
          <w:p w14:paraId="2B9A4D7C" w14:textId="48D7B9C6" w:rsidR="00A431CA" w:rsidRPr="00203925" w:rsidRDefault="000879ED" w:rsidP="000879ED">
            <w:pPr>
              <w:rPr>
                <w:rFonts w:asciiTheme="minorHAnsi" w:hAnsiTheme="minorHAnsi" w:cstheme="minorHAnsi"/>
              </w:rPr>
            </w:pPr>
            <w:r w:rsidRPr="00203925">
              <w:rPr>
                <w:rFonts w:asciiTheme="minorHAnsi" w:hAnsiTheme="minorHAnsi" w:cstheme="minorHAnsi"/>
              </w:rPr>
              <w:t xml:space="preserve">Fiscal Management </w:t>
            </w:r>
          </w:p>
        </w:tc>
        <w:tc>
          <w:tcPr>
            <w:tcW w:w="6745" w:type="dxa"/>
          </w:tcPr>
          <w:p w14:paraId="599B45CB" w14:textId="1D82A95A" w:rsidR="00A431CA" w:rsidRPr="00203925" w:rsidRDefault="009D04F8" w:rsidP="009D04F8">
            <w:pPr>
              <w:rPr>
                <w:rFonts w:asciiTheme="minorHAnsi" w:hAnsiTheme="minorHAnsi" w:cstheme="minorHAnsi"/>
              </w:rPr>
            </w:pPr>
            <w:r w:rsidRPr="009D04F8">
              <w:rPr>
                <w:rFonts w:asciiTheme="minorHAnsi" w:hAnsiTheme="minorHAnsi" w:cstheme="minorHAnsi"/>
              </w:rPr>
              <w:t>Describe how the consortium’s available funds</w:t>
            </w:r>
            <w:r>
              <w:rPr>
                <w:rFonts w:asciiTheme="minorHAnsi" w:hAnsiTheme="minorHAnsi" w:cstheme="minorHAnsi"/>
              </w:rPr>
              <w:t>, including carry-over funds,</w:t>
            </w:r>
            <w:r w:rsidRPr="009D04F8">
              <w:rPr>
                <w:rFonts w:asciiTheme="minorHAnsi" w:hAnsiTheme="minorHAnsi" w:cstheme="minorHAnsi"/>
              </w:rPr>
              <w:t xml:space="preserve"> will be leveraged to impact</w:t>
            </w:r>
            <w:r>
              <w:rPr>
                <w:rFonts w:asciiTheme="minorHAnsi" w:hAnsiTheme="minorHAnsi" w:cstheme="minorHAnsi"/>
              </w:rPr>
              <w:t xml:space="preserve"> </w:t>
            </w:r>
            <w:r w:rsidRPr="009D04F8">
              <w:rPr>
                <w:rFonts w:asciiTheme="minorHAnsi" w:hAnsiTheme="minorHAnsi" w:cstheme="minorHAnsi"/>
              </w:rPr>
              <w:t xml:space="preserve">the </w:t>
            </w:r>
            <w:r>
              <w:rPr>
                <w:rFonts w:asciiTheme="minorHAnsi" w:hAnsiTheme="minorHAnsi" w:cstheme="minorHAnsi"/>
              </w:rPr>
              <w:t>strategies</w:t>
            </w:r>
            <w:r w:rsidRPr="009D04F8">
              <w:rPr>
                <w:rFonts w:asciiTheme="minorHAnsi" w:hAnsiTheme="minorHAnsi" w:cstheme="minorHAnsi"/>
              </w:rPr>
              <w:t xml:space="preserve"> identified in the plan</w:t>
            </w:r>
            <w:r>
              <w:rPr>
                <w:rFonts w:asciiTheme="minorHAnsi" w:hAnsiTheme="minorHAnsi" w:cstheme="minorHAnsi"/>
              </w:rPr>
              <w:t>.</w:t>
            </w:r>
          </w:p>
        </w:tc>
      </w:tr>
      <w:tr w:rsidR="001F16EF" w:rsidRPr="00057917" w14:paraId="1F8601E4" w14:textId="77777777" w:rsidTr="000879ED">
        <w:tc>
          <w:tcPr>
            <w:tcW w:w="2605" w:type="dxa"/>
          </w:tcPr>
          <w:p w14:paraId="55A985B4" w14:textId="77777777" w:rsidR="00A130C9" w:rsidRDefault="001F16EF" w:rsidP="000879ED">
            <w:pPr>
              <w:rPr>
                <w:rFonts w:asciiTheme="minorHAnsi" w:hAnsiTheme="minorHAnsi" w:cstheme="minorHAnsi"/>
              </w:rPr>
            </w:pPr>
            <w:r>
              <w:rPr>
                <w:rFonts w:asciiTheme="minorHAnsi" w:hAnsiTheme="minorHAnsi" w:cstheme="minorHAnsi"/>
              </w:rPr>
              <w:t xml:space="preserve">Section 6: </w:t>
            </w:r>
          </w:p>
          <w:p w14:paraId="5DB6AFEA" w14:textId="14AD4129" w:rsidR="001F16EF" w:rsidRPr="00203925" w:rsidRDefault="00A130C9" w:rsidP="000879ED">
            <w:pPr>
              <w:rPr>
                <w:rFonts w:asciiTheme="minorHAnsi" w:hAnsiTheme="minorHAnsi" w:cstheme="minorHAnsi"/>
              </w:rPr>
            </w:pPr>
            <w:r>
              <w:rPr>
                <w:rFonts w:asciiTheme="minorHAnsi" w:hAnsiTheme="minorHAnsi" w:cstheme="minorHAnsi"/>
              </w:rPr>
              <w:t>NOVA Instructions</w:t>
            </w:r>
          </w:p>
        </w:tc>
        <w:tc>
          <w:tcPr>
            <w:tcW w:w="6745" w:type="dxa"/>
          </w:tcPr>
          <w:p w14:paraId="44878F01" w14:textId="45DE4E9F" w:rsidR="001F16EF" w:rsidRPr="00057917" w:rsidRDefault="00C63C9D" w:rsidP="00DD74E5">
            <w:pPr>
              <w:jc w:val="both"/>
              <w:rPr>
                <w:rFonts w:asciiTheme="minorHAnsi" w:hAnsiTheme="minorHAnsi" w:cstheme="minorHAnsi"/>
              </w:rPr>
            </w:pPr>
            <w:r w:rsidRPr="00057917">
              <w:rPr>
                <w:rFonts w:asciiTheme="minorHAnsi" w:hAnsiTheme="minorHAnsi" w:cstheme="minorHAnsi"/>
              </w:rPr>
              <w:t xml:space="preserve">Follow the steps provided in this step to complete the </w:t>
            </w:r>
            <w:r w:rsidR="00057917" w:rsidRPr="00057917">
              <w:rPr>
                <w:rFonts w:asciiTheme="minorHAnsi" w:hAnsiTheme="minorHAnsi" w:cstheme="minorHAnsi"/>
              </w:rPr>
              <w:t xml:space="preserve">Annual Plan </w:t>
            </w:r>
            <w:r w:rsidRPr="00057917">
              <w:rPr>
                <w:rFonts w:asciiTheme="minorHAnsi" w:hAnsiTheme="minorHAnsi" w:cstheme="minorHAnsi"/>
              </w:rPr>
              <w:t>in NOVA.</w:t>
            </w:r>
          </w:p>
        </w:tc>
      </w:tr>
      <w:tr w:rsidR="00A130C9" w14:paraId="2A165B8F" w14:textId="77777777" w:rsidTr="000879ED">
        <w:tc>
          <w:tcPr>
            <w:tcW w:w="2605" w:type="dxa"/>
          </w:tcPr>
          <w:p w14:paraId="4FB2F786" w14:textId="77777777" w:rsidR="00A130C9" w:rsidRDefault="00A130C9" w:rsidP="000879ED">
            <w:pPr>
              <w:rPr>
                <w:rFonts w:asciiTheme="minorHAnsi" w:hAnsiTheme="minorHAnsi" w:cstheme="minorHAnsi"/>
              </w:rPr>
            </w:pPr>
            <w:r>
              <w:rPr>
                <w:rFonts w:asciiTheme="minorHAnsi" w:hAnsiTheme="minorHAnsi" w:cstheme="minorHAnsi"/>
              </w:rPr>
              <w:t xml:space="preserve">Section 7: </w:t>
            </w:r>
          </w:p>
          <w:p w14:paraId="66780AA8" w14:textId="11644B8C" w:rsidR="00A130C9" w:rsidRDefault="00A130C9" w:rsidP="000879ED">
            <w:pPr>
              <w:rPr>
                <w:rFonts w:asciiTheme="minorHAnsi" w:hAnsiTheme="minorHAnsi" w:cstheme="minorHAnsi"/>
              </w:rPr>
            </w:pPr>
            <w:r>
              <w:rPr>
                <w:rFonts w:asciiTheme="minorHAnsi" w:hAnsiTheme="minorHAnsi" w:cstheme="minorHAnsi"/>
              </w:rPr>
              <w:t>Annual Plan Tips</w:t>
            </w:r>
          </w:p>
        </w:tc>
        <w:tc>
          <w:tcPr>
            <w:tcW w:w="6745" w:type="dxa"/>
          </w:tcPr>
          <w:p w14:paraId="263DC0B3" w14:textId="532861ED" w:rsidR="00A130C9" w:rsidRPr="00203925" w:rsidRDefault="00C63C9D" w:rsidP="00DD74E5">
            <w:pPr>
              <w:jc w:val="both"/>
              <w:rPr>
                <w:rFonts w:asciiTheme="minorHAnsi" w:hAnsiTheme="minorHAnsi" w:cstheme="minorHAnsi"/>
              </w:rPr>
            </w:pPr>
            <w:r>
              <w:rPr>
                <w:rFonts w:asciiTheme="minorHAnsi" w:hAnsiTheme="minorHAnsi" w:cstheme="minorHAnsi"/>
              </w:rPr>
              <w:t>Tips are provided in this section to bring awareness to some of the nuances that could arise and ways in which to mitigate them.</w:t>
            </w:r>
          </w:p>
        </w:tc>
      </w:tr>
      <w:tr w:rsidR="00091DD4" w14:paraId="1D499E7B" w14:textId="77777777" w:rsidTr="000879ED">
        <w:tc>
          <w:tcPr>
            <w:tcW w:w="2605" w:type="dxa"/>
          </w:tcPr>
          <w:p w14:paraId="3A126127" w14:textId="77777777" w:rsidR="00091DD4" w:rsidRDefault="00091DD4" w:rsidP="000879ED">
            <w:pPr>
              <w:rPr>
                <w:rFonts w:asciiTheme="minorHAnsi" w:hAnsiTheme="minorHAnsi" w:cstheme="minorHAnsi"/>
              </w:rPr>
            </w:pPr>
            <w:r>
              <w:rPr>
                <w:rFonts w:asciiTheme="minorHAnsi" w:hAnsiTheme="minorHAnsi" w:cstheme="minorHAnsi"/>
              </w:rPr>
              <w:t xml:space="preserve">Section 8: </w:t>
            </w:r>
          </w:p>
          <w:p w14:paraId="123193D3" w14:textId="1F2A6FDE" w:rsidR="00091DD4" w:rsidRDefault="00091DD4" w:rsidP="000879ED">
            <w:pPr>
              <w:rPr>
                <w:rFonts w:asciiTheme="minorHAnsi" w:hAnsiTheme="minorHAnsi" w:cstheme="minorHAnsi"/>
              </w:rPr>
            </w:pPr>
            <w:r>
              <w:rPr>
                <w:rFonts w:asciiTheme="minorHAnsi" w:hAnsiTheme="minorHAnsi" w:cstheme="minorHAnsi"/>
              </w:rPr>
              <w:t>Preview &amp; Submit</w:t>
            </w:r>
          </w:p>
        </w:tc>
        <w:tc>
          <w:tcPr>
            <w:tcW w:w="6745" w:type="dxa"/>
          </w:tcPr>
          <w:p w14:paraId="1300B5C2" w14:textId="2B548DF3" w:rsidR="00091DD4" w:rsidRDefault="00091DD4" w:rsidP="00DD74E5">
            <w:pPr>
              <w:jc w:val="both"/>
              <w:rPr>
                <w:rFonts w:asciiTheme="minorHAnsi" w:hAnsiTheme="minorHAnsi" w:cstheme="minorHAnsi"/>
              </w:rPr>
            </w:pPr>
            <w:r>
              <w:rPr>
                <w:rFonts w:asciiTheme="minorHAnsi" w:hAnsiTheme="minorHAnsi" w:cstheme="minorHAnsi"/>
              </w:rPr>
              <w:t>Review the content of each prior section.</w:t>
            </w:r>
          </w:p>
        </w:tc>
      </w:tr>
    </w:tbl>
    <w:p w14:paraId="7A9D6DB7" w14:textId="77777777" w:rsidR="00053307" w:rsidRDefault="00053307" w:rsidP="00DD74E5">
      <w:pPr>
        <w:jc w:val="both"/>
      </w:pPr>
    </w:p>
    <w:p w14:paraId="1B0A6263" w14:textId="0D3C31F4" w:rsidR="008F40B7" w:rsidRDefault="00C97FD1" w:rsidP="00C97FD1">
      <w:pPr>
        <w:pStyle w:val="Heading2"/>
        <w:rPr>
          <w:b/>
          <w:bCs/>
        </w:rPr>
      </w:pPr>
      <w:r w:rsidRPr="00C97FD1">
        <w:rPr>
          <w:b/>
          <w:bCs/>
        </w:rPr>
        <w:t>SUBMISSION FORMAT AND TIMELINE</w:t>
      </w:r>
    </w:p>
    <w:p w14:paraId="26ED39D3" w14:textId="77777777" w:rsidR="00E36EAB" w:rsidRDefault="00E36EAB" w:rsidP="00C97FD1">
      <w:pPr>
        <w:rPr>
          <w:rFonts w:asciiTheme="minorHAnsi" w:hAnsiTheme="minorHAnsi" w:cstheme="minorHAnsi"/>
        </w:rPr>
      </w:pPr>
    </w:p>
    <w:p w14:paraId="259502D9" w14:textId="650C7C44" w:rsidR="00E5234A" w:rsidRPr="00057917" w:rsidRDefault="00F964B9" w:rsidP="008B6938">
      <w:pPr>
        <w:jc w:val="both"/>
        <w:rPr>
          <w:rFonts w:asciiTheme="minorHAnsi" w:hAnsiTheme="minorHAnsi" w:cstheme="minorHAnsi"/>
        </w:rPr>
      </w:pPr>
      <w:r w:rsidRPr="00057917">
        <w:rPr>
          <w:rFonts w:asciiTheme="minorHAnsi" w:hAnsiTheme="minorHAnsi" w:cstheme="minorHAnsi"/>
        </w:rPr>
        <w:t xml:space="preserve">The </w:t>
      </w:r>
      <w:r w:rsidR="00057917" w:rsidRPr="00057917">
        <w:rPr>
          <w:rFonts w:asciiTheme="minorHAnsi" w:hAnsiTheme="minorHAnsi" w:cstheme="minorHAnsi"/>
        </w:rPr>
        <w:t xml:space="preserve">Annual Plan </w:t>
      </w:r>
      <w:r w:rsidRPr="00057917">
        <w:rPr>
          <w:rFonts w:asciiTheme="minorHAnsi" w:hAnsiTheme="minorHAnsi" w:cstheme="minorHAnsi"/>
        </w:rPr>
        <w:t>will be submitted in NOVA</w:t>
      </w:r>
      <w:r w:rsidR="00423677" w:rsidRPr="00057917">
        <w:rPr>
          <w:rFonts w:asciiTheme="minorHAnsi" w:hAnsiTheme="minorHAnsi" w:cstheme="minorHAnsi"/>
        </w:rPr>
        <w:t xml:space="preserve">. </w:t>
      </w:r>
      <w:r w:rsidR="00426B88" w:rsidRPr="00057917">
        <w:rPr>
          <w:rFonts w:asciiTheme="minorHAnsi" w:hAnsiTheme="minorHAnsi" w:cstheme="minorHAnsi"/>
        </w:rPr>
        <w:t xml:space="preserve">The </w:t>
      </w:r>
      <w:r w:rsidR="00057917" w:rsidRPr="00057917">
        <w:rPr>
          <w:rFonts w:asciiTheme="minorHAnsi" w:hAnsiTheme="minorHAnsi" w:cstheme="minorHAnsi"/>
        </w:rPr>
        <w:t xml:space="preserve">Annual Plan </w:t>
      </w:r>
      <w:r w:rsidR="00426B88" w:rsidRPr="00057917">
        <w:rPr>
          <w:rFonts w:asciiTheme="minorHAnsi" w:hAnsiTheme="minorHAnsi" w:cstheme="minorHAnsi"/>
        </w:rPr>
        <w:t>will become available upon submission and approval of the current year’s CFAD. If needed, to request an account or login credentials for the system, please</w:t>
      </w:r>
      <w:r w:rsidR="008B6938" w:rsidRPr="00057917">
        <w:rPr>
          <w:rFonts w:asciiTheme="minorHAnsi" w:hAnsiTheme="minorHAnsi" w:cstheme="minorHAnsi"/>
        </w:rPr>
        <w:t xml:space="preserve"> </w:t>
      </w:r>
      <w:r w:rsidR="00426B88" w:rsidRPr="00057917">
        <w:rPr>
          <w:rFonts w:asciiTheme="minorHAnsi" w:hAnsiTheme="minorHAnsi" w:cstheme="minorHAnsi"/>
        </w:rPr>
        <w:t xml:space="preserve">visit the </w:t>
      </w:r>
      <w:hyperlink r:id="rId13" w:history="1">
        <w:r w:rsidR="00426B88" w:rsidRPr="00057917">
          <w:rPr>
            <w:rStyle w:val="Hyperlink"/>
            <w:rFonts w:asciiTheme="minorHAnsi" w:hAnsiTheme="minorHAnsi" w:cstheme="minorHAnsi"/>
            <w:color w:val="0000FF"/>
          </w:rPr>
          <w:t>NOVA login page</w:t>
        </w:r>
      </w:hyperlink>
      <w:r w:rsidR="008B6938" w:rsidRPr="00057917">
        <w:rPr>
          <w:rFonts w:asciiTheme="minorHAnsi" w:hAnsiTheme="minorHAnsi" w:cstheme="minorHAnsi"/>
          <w:color w:val="0000FF"/>
        </w:rPr>
        <w:t>.</w:t>
      </w:r>
    </w:p>
    <w:p w14:paraId="37D7DE20" w14:textId="77777777" w:rsidR="00E5234A" w:rsidRPr="00057917" w:rsidRDefault="00E5234A" w:rsidP="008B6938">
      <w:pPr>
        <w:jc w:val="both"/>
        <w:rPr>
          <w:rFonts w:asciiTheme="minorHAnsi" w:hAnsiTheme="minorHAnsi" w:cstheme="minorHAnsi"/>
        </w:rPr>
      </w:pPr>
    </w:p>
    <w:p w14:paraId="59551F20" w14:textId="1D272017" w:rsidR="00C97FD1" w:rsidRPr="00F964B9" w:rsidRDefault="00E5234A" w:rsidP="008B6938">
      <w:pPr>
        <w:jc w:val="both"/>
        <w:rPr>
          <w:rFonts w:asciiTheme="minorHAnsi" w:hAnsiTheme="minorHAnsi" w:cstheme="minorHAnsi"/>
        </w:rPr>
      </w:pPr>
      <w:r w:rsidRPr="00057917">
        <w:rPr>
          <w:rFonts w:asciiTheme="minorHAnsi" w:hAnsiTheme="minorHAnsi" w:cstheme="minorHAnsi"/>
        </w:rPr>
        <w:t xml:space="preserve">Final annual plans must be submitted and approved by </w:t>
      </w:r>
      <w:r w:rsidRPr="00057917">
        <w:rPr>
          <w:rFonts w:asciiTheme="minorHAnsi" w:hAnsiTheme="minorHAnsi" w:cstheme="minorHAnsi"/>
          <w:b/>
          <w:bCs/>
        </w:rPr>
        <w:t>September 14, 2022</w:t>
      </w:r>
      <w:r w:rsidRPr="00057917">
        <w:rPr>
          <w:rFonts w:asciiTheme="minorHAnsi" w:hAnsiTheme="minorHAnsi" w:cstheme="minorHAnsi"/>
        </w:rPr>
        <w:t xml:space="preserve"> for the 2022-23 program year</w:t>
      </w:r>
      <w:r w:rsidR="00D677CA" w:rsidRPr="00057917">
        <w:rPr>
          <w:rFonts w:asciiTheme="minorHAnsi" w:hAnsiTheme="minorHAnsi" w:cstheme="minorHAnsi"/>
        </w:rPr>
        <w:t>. This year’s</w:t>
      </w:r>
      <w:r w:rsidR="00D677CA">
        <w:rPr>
          <w:rFonts w:asciiTheme="minorHAnsi" w:hAnsiTheme="minorHAnsi" w:cstheme="minorHAnsi"/>
        </w:rPr>
        <w:t xml:space="preserve"> annual plan deadline has been extended to accommodate and allow for additional planning and completion due to the NOVA updates that took place in May.</w:t>
      </w:r>
    </w:p>
    <w:p w14:paraId="30137CFC" w14:textId="380119A5" w:rsidR="00C97FD1" w:rsidRPr="00742403" w:rsidRDefault="00C97FD1" w:rsidP="00742403">
      <w:pPr>
        <w:jc w:val="both"/>
        <w:rPr>
          <w:rFonts w:asciiTheme="minorHAnsi" w:hAnsiTheme="minorHAnsi" w:cstheme="minorHAnsi"/>
        </w:rPr>
      </w:pPr>
    </w:p>
    <w:p w14:paraId="1D4196E0" w14:textId="467ABCA0" w:rsidR="00742403" w:rsidRPr="00742403" w:rsidRDefault="00742403" w:rsidP="00742403">
      <w:pPr>
        <w:jc w:val="both"/>
        <w:rPr>
          <w:rFonts w:asciiTheme="minorHAnsi" w:hAnsiTheme="minorHAnsi" w:cstheme="minorHAnsi"/>
        </w:rPr>
      </w:pPr>
      <w:r w:rsidRPr="00742403">
        <w:rPr>
          <w:rFonts w:asciiTheme="minorHAnsi" w:hAnsiTheme="minorHAnsi" w:cstheme="minorHAnsi"/>
        </w:rPr>
        <w:t xml:space="preserve">After submission and approval of </w:t>
      </w:r>
      <w:r w:rsidRPr="00057917">
        <w:rPr>
          <w:rFonts w:asciiTheme="minorHAnsi" w:hAnsiTheme="minorHAnsi" w:cstheme="minorHAnsi"/>
        </w:rPr>
        <w:t xml:space="preserve">the </w:t>
      </w:r>
      <w:r w:rsidR="00057917" w:rsidRPr="00057917">
        <w:rPr>
          <w:rFonts w:asciiTheme="minorHAnsi" w:hAnsiTheme="minorHAnsi" w:cstheme="minorHAnsi"/>
        </w:rPr>
        <w:t>Annual Plan</w:t>
      </w:r>
      <w:r w:rsidRPr="00057917">
        <w:rPr>
          <w:rFonts w:asciiTheme="minorHAnsi" w:hAnsiTheme="minorHAnsi" w:cstheme="minorHAnsi"/>
        </w:rPr>
        <w:t xml:space="preserve">, consortium member agencies will have until October 30, 2022 to submit their member work plan and budget. The consortium has until November 30, 2022 to certify all member work plans and budgets. Please note – these dates were extended due to the extra time needed for NOVA enhancements. The member work plan and budget will align with the consortium </w:t>
      </w:r>
      <w:r w:rsidR="00057917" w:rsidRPr="00057917">
        <w:rPr>
          <w:rFonts w:asciiTheme="minorHAnsi" w:hAnsiTheme="minorHAnsi" w:cstheme="minorHAnsi"/>
        </w:rPr>
        <w:t xml:space="preserve">Annual Plan </w:t>
      </w:r>
      <w:r w:rsidRPr="00057917">
        <w:rPr>
          <w:rFonts w:asciiTheme="minorHAnsi" w:hAnsiTheme="minorHAnsi" w:cstheme="minorHAnsi"/>
        </w:rPr>
        <w:t>and</w:t>
      </w:r>
      <w:r w:rsidR="00AC5067">
        <w:rPr>
          <w:rFonts w:asciiTheme="minorHAnsi" w:hAnsiTheme="minorHAnsi" w:cstheme="minorHAnsi"/>
        </w:rPr>
        <w:t xml:space="preserve"> T</w:t>
      </w:r>
      <w:r w:rsidRPr="00057917">
        <w:rPr>
          <w:rFonts w:asciiTheme="minorHAnsi" w:hAnsiTheme="minorHAnsi" w:cstheme="minorHAnsi"/>
        </w:rPr>
        <w:t>hree</w:t>
      </w:r>
      <w:r w:rsidR="00AC5067">
        <w:rPr>
          <w:rFonts w:asciiTheme="minorHAnsi" w:hAnsiTheme="minorHAnsi" w:cstheme="minorHAnsi"/>
        </w:rPr>
        <w:t>-Y</w:t>
      </w:r>
      <w:r w:rsidR="00057917" w:rsidRPr="00057917">
        <w:rPr>
          <w:rFonts w:asciiTheme="minorHAnsi" w:hAnsiTheme="minorHAnsi" w:cstheme="minorHAnsi"/>
        </w:rPr>
        <w:t xml:space="preserve">ear </w:t>
      </w:r>
      <w:r w:rsidR="00AC5067">
        <w:rPr>
          <w:rFonts w:asciiTheme="minorHAnsi" w:hAnsiTheme="minorHAnsi" w:cstheme="minorHAnsi"/>
        </w:rPr>
        <w:t>P</w:t>
      </w:r>
      <w:r w:rsidRPr="00057917">
        <w:rPr>
          <w:rFonts w:asciiTheme="minorHAnsi" w:hAnsiTheme="minorHAnsi" w:cstheme="minorHAnsi"/>
        </w:rPr>
        <w:t xml:space="preserve">lan as each member tailors their </w:t>
      </w:r>
      <w:r w:rsidR="00057917" w:rsidRPr="00057917">
        <w:rPr>
          <w:rFonts w:asciiTheme="minorHAnsi" w:hAnsiTheme="minorHAnsi" w:cstheme="minorHAnsi"/>
        </w:rPr>
        <w:t>W</w:t>
      </w:r>
      <w:r w:rsidRPr="00057917">
        <w:rPr>
          <w:rFonts w:asciiTheme="minorHAnsi" w:hAnsiTheme="minorHAnsi" w:cstheme="minorHAnsi"/>
        </w:rPr>
        <w:t xml:space="preserve">orkplan and </w:t>
      </w:r>
      <w:r w:rsidR="00057917" w:rsidRPr="00057917">
        <w:rPr>
          <w:rFonts w:asciiTheme="minorHAnsi" w:hAnsiTheme="minorHAnsi" w:cstheme="minorHAnsi"/>
        </w:rPr>
        <w:t>B</w:t>
      </w:r>
      <w:r w:rsidRPr="00057917">
        <w:rPr>
          <w:rFonts w:asciiTheme="minorHAnsi" w:hAnsiTheme="minorHAnsi" w:cstheme="minorHAnsi"/>
        </w:rPr>
        <w:t>udget to meet their student</w:t>
      </w:r>
      <w:r w:rsidRPr="00742403">
        <w:rPr>
          <w:rFonts w:asciiTheme="minorHAnsi" w:hAnsiTheme="minorHAnsi" w:cstheme="minorHAnsi"/>
        </w:rPr>
        <w:t xml:space="preserve"> needs for the upcoming year.</w:t>
      </w:r>
    </w:p>
    <w:p w14:paraId="13978CCC" w14:textId="77777777" w:rsidR="00742403" w:rsidRDefault="00742403" w:rsidP="00C97FD1"/>
    <w:p w14:paraId="70D0E4B5" w14:textId="77777777" w:rsidR="00BB71FC" w:rsidRPr="00F10CA4" w:rsidRDefault="00A03014" w:rsidP="00A03014">
      <w:pPr>
        <w:pStyle w:val="Heading2"/>
        <w:rPr>
          <w:b/>
          <w:bCs/>
        </w:rPr>
      </w:pPr>
      <w:r w:rsidRPr="00F10CA4">
        <w:rPr>
          <w:b/>
          <w:bCs/>
        </w:rPr>
        <w:t>FROM PLANNING TO ACTIONS: THE TRANSITION FROM AB 86 TO AB 104 TO EDUCATION CODE</w:t>
      </w:r>
    </w:p>
    <w:p w14:paraId="4D7C974F" w14:textId="77777777" w:rsidR="00E36EAB" w:rsidRDefault="00E36EAB" w:rsidP="00A03014">
      <w:pPr>
        <w:pStyle w:val="Heading2"/>
        <w:rPr>
          <w:rFonts w:asciiTheme="minorHAnsi" w:eastAsia="Times New Roman" w:hAnsiTheme="minorHAnsi" w:cstheme="minorHAnsi"/>
          <w:color w:val="auto"/>
          <w:sz w:val="24"/>
          <w:szCs w:val="24"/>
        </w:rPr>
      </w:pPr>
    </w:p>
    <w:p w14:paraId="1FC657BF" w14:textId="75D02732" w:rsidR="00A03014" w:rsidRPr="00203925" w:rsidRDefault="00BB71FC" w:rsidP="00E36EAB">
      <w:pPr>
        <w:pStyle w:val="Heading2"/>
        <w:jc w:val="both"/>
        <w:rPr>
          <w:rFonts w:asciiTheme="minorHAnsi" w:eastAsia="Times New Roman" w:hAnsiTheme="minorHAnsi" w:cstheme="minorHAnsi"/>
          <w:color w:val="auto"/>
          <w:sz w:val="24"/>
          <w:szCs w:val="24"/>
        </w:rPr>
      </w:pPr>
      <w:r w:rsidRPr="00203925">
        <w:rPr>
          <w:rFonts w:asciiTheme="minorHAnsi" w:eastAsia="Times New Roman" w:hAnsiTheme="minorHAnsi" w:cstheme="minorHAnsi"/>
          <w:color w:val="auto"/>
          <w:sz w:val="24"/>
          <w:szCs w:val="24"/>
        </w:rPr>
        <w:t>In 2013, AB 86 provided $25 Million in Planning Grants for Regional Adult Education Consortia. The California Department of Education (CDE) and California Community Colleges (CCC) Chancellor’s Office jointly awarded grants to school districts and community college districts to form regional consortia. Participants could include other providers (such as local libraries and community-based organizations). With input from other providers, consortia used planning monies in 2013-14 and 2014-15 to document existing services, identify unmet needs, and develop regional plans to coordinate and deliver adult education in their regions. AB 86 also required regional consortia to develop plans to include:</w:t>
      </w:r>
      <w:r w:rsidR="00A03014" w:rsidRPr="00203925">
        <w:rPr>
          <w:rFonts w:asciiTheme="minorHAnsi" w:eastAsia="Times New Roman" w:hAnsiTheme="minorHAnsi" w:cstheme="minorHAnsi"/>
          <w:color w:val="auto"/>
          <w:sz w:val="24"/>
          <w:szCs w:val="24"/>
        </w:rPr>
        <w:t xml:space="preserve"> </w:t>
      </w:r>
    </w:p>
    <w:p w14:paraId="22E7AC32" w14:textId="77333528" w:rsidR="00C97FD1" w:rsidRPr="00203925" w:rsidRDefault="00C97FD1" w:rsidP="00C97FD1">
      <w:pPr>
        <w:rPr>
          <w:rFonts w:asciiTheme="minorHAnsi" w:hAnsiTheme="minorHAnsi" w:cstheme="minorHAnsi"/>
        </w:rPr>
      </w:pPr>
    </w:p>
    <w:p w14:paraId="197A87B7" w14:textId="77777777" w:rsidR="00203925" w:rsidRPr="00BB365D" w:rsidRDefault="00203925" w:rsidP="00203925">
      <w:pPr>
        <w:pStyle w:val="Default"/>
        <w:numPr>
          <w:ilvl w:val="0"/>
          <w:numId w:val="1"/>
        </w:numPr>
        <w:rPr>
          <w:rFonts w:asciiTheme="minorHAnsi" w:hAnsiTheme="minorHAnsi" w:cstheme="minorHAnsi"/>
          <w:color w:val="auto"/>
        </w:rPr>
      </w:pPr>
      <w:r w:rsidRPr="00BB365D">
        <w:rPr>
          <w:rFonts w:asciiTheme="minorHAnsi" w:hAnsiTheme="minorHAnsi" w:cstheme="minorHAnsi"/>
          <w:color w:val="auto"/>
        </w:rPr>
        <w:t xml:space="preserve">Plans to address </w:t>
      </w:r>
      <w:r w:rsidRPr="00BB365D">
        <w:rPr>
          <w:rFonts w:asciiTheme="minorHAnsi" w:hAnsiTheme="minorHAnsi" w:cstheme="minorHAnsi"/>
          <w:b/>
          <w:bCs/>
          <w:color w:val="auto"/>
        </w:rPr>
        <w:t xml:space="preserve">gaps in services. </w:t>
      </w:r>
    </w:p>
    <w:p w14:paraId="0A756639" w14:textId="77777777" w:rsidR="00203925" w:rsidRPr="00BB365D" w:rsidRDefault="00203925" w:rsidP="00203925">
      <w:pPr>
        <w:pStyle w:val="Default"/>
        <w:numPr>
          <w:ilvl w:val="0"/>
          <w:numId w:val="1"/>
        </w:numPr>
        <w:rPr>
          <w:rFonts w:asciiTheme="minorHAnsi" w:hAnsiTheme="minorHAnsi" w:cstheme="minorHAnsi"/>
          <w:color w:val="auto"/>
        </w:rPr>
      </w:pPr>
      <w:r w:rsidRPr="00BB365D">
        <w:rPr>
          <w:rFonts w:asciiTheme="minorHAnsi" w:hAnsiTheme="minorHAnsi" w:cstheme="minorHAnsi"/>
          <w:color w:val="auto"/>
        </w:rPr>
        <w:t xml:space="preserve">Plans for parties that make up the consortium to integrate their existing programs and create </w:t>
      </w:r>
      <w:r w:rsidRPr="00BB365D">
        <w:rPr>
          <w:rFonts w:asciiTheme="minorHAnsi" w:hAnsiTheme="minorHAnsi" w:cstheme="minorHAnsi"/>
          <w:b/>
          <w:bCs/>
          <w:color w:val="auto"/>
        </w:rPr>
        <w:t xml:space="preserve">seamless transitions </w:t>
      </w:r>
      <w:r w:rsidRPr="00BB365D">
        <w:rPr>
          <w:rFonts w:asciiTheme="minorHAnsi" w:hAnsiTheme="minorHAnsi" w:cstheme="minorHAnsi"/>
          <w:color w:val="auto"/>
        </w:rPr>
        <w:t xml:space="preserve">into postsecondary education or the workforce. </w:t>
      </w:r>
    </w:p>
    <w:p w14:paraId="602D6C83" w14:textId="77777777" w:rsidR="00203925" w:rsidRPr="00BB365D" w:rsidRDefault="00203925" w:rsidP="00203925">
      <w:pPr>
        <w:pStyle w:val="Default"/>
        <w:numPr>
          <w:ilvl w:val="0"/>
          <w:numId w:val="1"/>
        </w:numPr>
        <w:rPr>
          <w:rFonts w:asciiTheme="minorHAnsi" w:hAnsiTheme="minorHAnsi" w:cstheme="minorHAnsi"/>
          <w:color w:val="auto"/>
        </w:rPr>
      </w:pPr>
      <w:r w:rsidRPr="00BB365D">
        <w:rPr>
          <w:rFonts w:asciiTheme="minorHAnsi" w:hAnsiTheme="minorHAnsi" w:cstheme="minorHAnsi"/>
          <w:color w:val="auto"/>
        </w:rPr>
        <w:lastRenderedPageBreak/>
        <w:t xml:space="preserve">Plans to employ approaches proven to </w:t>
      </w:r>
      <w:r w:rsidRPr="00BB365D">
        <w:rPr>
          <w:rFonts w:asciiTheme="minorHAnsi" w:hAnsiTheme="minorHAnsi" w:cstheme="minorHAnsi"/>
          <w:b/>
          <w:bCs/>
          <w:color w:val="auto"/>
        </w:rPr>
        <w:t xml:space="preserve">accelerate a student’s progress </w:t>
      </w:r>
      <w:r w:rsidRPr="00BB365D">
        <w:rPr>
          <w:rFonts w:asciiTheme="minorHAnsi" w:hAnsiTheme="minorHAnsi" w:cstheme="minorHAnsi"/>
          <w:color w:val="auto"/>
        </w:rPr>
        <w:t xml:space="preserve">toward his or her academic or career goals, such as contextualized basic skills and career technical education, and other joint programming strategies between adult education and career technical education. </w:t>
      </w:r>
    </w:p>
    <w:p w14:paraId="5468220C" w14:textId="77777777" w:rsidR="00203925" w:rsidRPr="00BB365D" w:rsidRDefault="00203925" w:rsidP="00203925">
      <w:pPr>
        <w:pStyle w:val="Default"/>
        <w:numPr>
          <w:ilvl w:val="0"/>
          <w:numId w:val="1"/>
        </w:numPr>
        <w:rPr>
          <w:rFonts w:asciiTheme="minorHAnsi" w:hAnsiTheme="minorHAnsi" w:cstheme="minorHAnsi"/>
          <w:color w:val="auto"/>
        </w:rPr>
      </w:pPr>
      <w:r w:rsidRPr="00BB365D">
        <w:rPr>
          <w:rFonts w:asciiTheme="minorHAnsi" w:hAnsiTheme="minorHAnsi" w:cstheme="minorHAnsi"/>
          <w:color w:val="auto"/>
        </w:rPr>
        <w:t xml:space="preserve">Plans to collaborate in the provision of ongoing </w:t>
      </w:r>
      <w:r w:rsidRPr="00BB365D">
        <w:rPr>
          <w:rFonts w:asciiTheme="minorHAnsi" w:hAnsiTheme="minorHAnsi" w:cstheme="minorHAnsi"/>
          <w:b/>
          <w:bCs/>
          <w:color w:val="auto"/>
        </w:rPr>
        <w:t xml:space="preserve">professional development </w:t>
      </w:r>
      <w:r w:rsidRPr="00BB365D">
        <w:rPr>
          <w:rFonts w:asciiTheme="minorHAnsi" w:hAnsiTheme="minorHAnsi" w:cstheme="minorHAnsi"/>
          <w:color w:val="auto"/>
        </w:rPr>
        <w:t xml:space="preserve">opportunities for faculty and other staff to help them achieve greater program integration and improve student outcomes. </w:t>
      </w:r>
    </w:p>
    <w:p w14:paraId="37532CF5" w14:textId="2D910E87" w:rsidR="00203925" w:rsidRPr="00BB365D" w:rsidRDefault="00203925" w:rsidP="00203925">
      <w:pPr>
        <w:pStyle w:val="Default"/>
        <w:numPr>
          <w:ilvl w:val="0"/>
          <w:numId w:val="1"/>
        </w:numPr>
        <w:rPr>
          <w:rFonts w:asciiTheme="minorHAnsi" w:hAnsiTheme="minorHAnsi" w:cstheme="minorHAnsi"/>
          <w:color w:val="auto"/>
        </w:rPr>
      </w:pPr>
      <w:r w:rsidRPr="00BB365D">
        <w:rPr>
          <w:rFonts w:asciiTheme="minorHAnsi" w:hAnsiTheme="minorHAnsi" w:cstheme="minorHAnsi"/>
          <w:color w:val="auto"/>
        </w:rPr>
        <w:t xml:space="preserve">Plans to </w:t>
      </w:r>
      <w:r w:rsidRPr="00BB365D">
        <w:rPr>
          <w:rFonts w:asciiTheme="minorHAnsi" w:hAnsiTheme="minorHAnsi" w:cstheme="minorHAnsi"/>
          <w:b/>
          <w:bCs/>
          <w:color w:val="auto"/>
        </w:rPr>
        <w:t>leverage existing regional structures</w:t>
      </w:r>
      <w:r w:rsidRPr="00BB365D">
        <w:rPr>
          <w:rFonts w:asciiTheme="minorHAnsi" w:hAnsiTheme="minorHAnsi" w:cstheme="minorHAnsi"/>
          <w:color w:val="auto"/>
        </w:rPr>
        <w:t xml:space="preserve">, including, but not necessarily limited to, local workforce investment areas. </w:t>
      </w:r>
    </w:p>
    <w:p w14:paraId="30E70EDC" w14:textId="2B31E225" w:rsidR="00203925" w:rsidRDefault="00203925" w:rsidP="00203925">
      <w:pPr>
        <w:pStyle w:val="Default"/>
        <w:rPr>
          <w:rFonts w:asciiTheme="minorHAnsi" w:hAnsiTheme="minorHAnsi" w:cstheme="minorHAnsi"/>
          <w:color w:val="323232"/>
        </w:rPr>
      </w:pPr>
    </w:p>
    <w:p w14:paraId="7B21638A" w14:textId="3C4FC4D1" w:rsidR="00203925" w:rsidRPr="00057917" w:rsidRDefault="00203925" w:rsidP="00E36EAB">
      <w:pPr>
        <w:pStyle w:val="Default"/>
        <w:jc w:val="both"/>
        <w:rPr>
          <w:rFonts w:asciiTheme="minorHAnsi" w:hAnsiTheme="minorHAnsi" w:cstheme="minorHAnsi"/>
        </w:rPr>
      </w:pPr>
      <w:r w:rsidRPr="00203925">
        <w:rPr>
          <w:rFonts w:asciiTheme="minorHAnsi" w:hAnsiTheme="minorHAnsi" w:cstheme="minorHAnsi"/>
        </w:rPr>
        <w:t xml:space="preserve">In 2015-16, Chapter 13 of 2015 (AB 104, Committee on Budget), created the Adult Education Block Grant (AEBG). The 2015-16 Budget Act provided $500 million in ongoing Proposition 98 funding for the block grant. The $500 Million was allocated to 71 regional consortia (with boundaries that largely coincide with community college district service areas). As a condition of funding, each consortium must submit to </w:t>
      </w:r>
      <w:r w:rsidRPr="00057917">
        <w:rPr>
          <w:rFonts w:asciiTheme="minorHAnsi" w:hAnsiTheme="minorHAnsi" w:cstheme="minorHAnsi"/>
        </w:rPr>
        <w:t xml:space="preserve">the state a </w:t>
      </w:r>
      <w:r w:rsidR="00057917" w:rsidRPr="00057917">
        <w:rPr>
          <w:rFonts w:asciiTheme="minorHAnsi" w:hAnsiTheme="minorHAnsi" w:cstheme="minorHAnsi"/>
        </w:rPr>
        <w:t>T</w:t>
      </w:r>
      <w:r w:rsidRPr="00057917">
        <w:rPr>
          <w:rFonts w:asciiTheme="minorHAnsi" w:hAnsiTheme="minorHAnsi" w:cstheme="minorHAnsi"/>
        </w:rPr>
        <w:t>hree-</w:t>
      </w:r>
      <w:r w:rsidR="00057917" w:rsidRPr="00057917">
        <w:rPr>
          <w:rFonts w:asciiTheme="minorHAnsi" w:hAnsiTheme="minorHAnsi" w:cstheme="minorHAnsi"/>
        </w:rPr>
        <w:t>Y</w:t>
      </w:r>
      <w:r w:rsidRPr="00057917">
        <w:rPr>
          <w:rFonts w:asciiTheme="minorHAnsi" w:hAnsiTheme="minorHAnsi" w:cstheme="minorHAnsi"/>
        </w:rPr>
        <w:t xml:space="preserve">ear </w:t>
      </w:r>
      <w:r w:rsidR="00057917" w:rsidRPr="00057917">
        <w:rPr>
          <w:rFonts w:asciiTheme="minorHAnsi" w:hAnsiTheme="minorHAnsi" w:cstheme="minorHAnsi"/>
        </w:rPr>
        <w:t>Pl</w:t>
      </w:r>
      <w:r w:rsidRPr="00057917">
        <w:rPr>
          <w:rFonts w:asciiTheme="minorHAnsi" w:hAnsiTheme="minorHAnsi" w:cstheme="minorHAnsi"/>
        </w:rPr>
        <w:t>an for delivering adult education in its region. In the fall of 2015, using the AB 86 planning objectives (noted above), the State released guidance and templates for the 2015-2018 AEBG Three-Year Plan and Annual Plan. In late 2018, the State continued to use the now called California Adult Education Program (CAEP) Three-Year Plan and the Annual Plan templates for the next round covering 2019-2022.</w:t>
      </w:r>
    </w:p>
    <w:p w14:paraId="58D0651E" w14:textId="77777777" w:rsidR="00203925" w:rsidRPr="00057917" w:rsidRDefault="00203925" w:rsidP="00E36EAB">
      <w:pPr>
        <w:pStyle w:val="Default"/>
        <w:jc w:val="both"/>
        <w:rPr>
          <w:rFonts w:asciiTheme="minorHAnsi" w:hAnsiTheme="minorHAnsi" w:cstheme="minorHAnsi"/>
        </w:rPr>
      </w:pPr>
    </w:p>
    <w:p w14:paraId="33BD5F36" w14:textId="3F9C10F7" w:rsidR="00203925" w:rsidRDefault="00203925" w:rsidP="00E36EAB">
      <w:pPr>
        <w:pStyle w:val="Default"/>
        <w:jc w:val="both"/>
        <w:rPr>
          <w:rFonts w:asciiTheme="minorHAnsi" w:hAnsiTheme="minorHAnsi" w:cstheme="minorHAnsi"/>
        </w:rPr>
      </w:pPr>
      <w:r w:rsidRPr="00057917">
        <w:rPr>
          <w:rFonts w:asciiTheme="minorHAnsi" w:hAnsiTheme="minorHAnsi" w:cstheme="minorHAnsi"/>
        </w:rPr>
        <w:t xml:space="preserve">In January of 2019, the California State Legislature added education code to specifically address CAEP Three-Year Planning. Education Code </w:t>
      </w:r>
      <w:r w:rsidR="00D81E1A" w:rsidRPr="00057917">
        <w:rPr>
          <w:rFonts w:asciiTheme="minorHAnsi" w:hAnsiTheme="minorHAnsi" w:cstheme="minorHAnsi"/>
        </w:rPr>
        <w:t>§</w:t>
      </w:r>
      <w:r w:rsidRPr="00057917">
        <w:rPr>
          <w:rFonts w:asciiTheme="minorHAnsi" w:hAnsiTheme="minorHAnsi" w:cstheme="minorHAnsi"/>
        </w:rPr>
        <w:t xml:space="preserve">84906 stated, “Commencing with the 2019–20 fiscal year, as a condition of receipt of an apportionment of funds from this program for a fiscal year, the members of a consortium shall have a consortium-approved </w:t>
      </w:r>
      <w:r w:rsidR="00057917" w:rsidRPr="00057917">
        <w:rPr>
          <w:rFonts w:asciiTheme="minorHAnsi" w:hAnsiTheme="minorHAnsi" w:cstheme="minorHAnsi"/>
        </w:rPr>
        <w:t>T</w:t>
      </w:r>
      <w:r w:rsidRPr="00057917">
        <w:rPr>
          <w:rFonts w:asciiTheme="minorHAnsi" w:hAnsiTheme="minorHAnsi" w:cstheme="minorHAnsi"/>
        </w:rPr>
        <w:t>hree-</w:t>
      </w:r>
      <w:r w:rsidR="00057917" w:rsidRPr="00057917">
        <w:rPr>
          <w:rFonts w:asciiTheme="minorHAnsi" w:hAnsiTheme="minorHAnsi" w:cstheme="minorHAnsi"/>
        </w:rPr>
        <w:t>Y</w:t>
      </w:r>
      <w:r w:rsidRPr="00057917">
        <w:rPr>
          <w:rFonts w:asciiTheme="minorHAnsi" w:hAnsiTheme="minorHAnsi" w:cstheme="minorHAnsi"/>
        </w:rPr>
        <w:t xml:space="preserve">ear </w:t>
      </w:r>
      <w:r w:rsidR="00057917" w:rsidRPr="00057917">
        <w:rPr>
          <w:rFonts w:asciiTheme="minorHAnsi" w:hAnsiTheme="minorHAnsi" w:cstheme="minorHAnsi"/>
        </w:rPr>
        <w:t>A</w:t>
      </w:r>
      <w:r w:rsidRPr="00057917">
        <w:rPr>
          <w:rFonts w:asciiTheme="minorHAnsi" w:hAnsiTheme="minorHAnsi" w:cstheme="minorHAnsi"/>
        </w:rPr>
        <w:t xml:space="preserve">dult </w:t>
      </w:r>
      <w:r w:rsidR="00057917" w:rsidRPr="00057917">
        <w:rPr>
          <w:rFonts w:asciiTheme="minorHAnsi" w:hAnsiTheme="minorHAnsi" w:cstheme="minorHAnsi"/>
        </w:rPr>
        <w:t>E</w:t>
      </w:r>
      <w:r w:rsidRPr="00057917">
        <w:rPr>
          <w:rFonts w:asciiTheme="minorHAnsi" w:hAnsiTheme="minorHAnsi" w:cstheme="minorHAnsi"/>
        </w:rPr>
        <w:t xml:space="preserve">ducation </w:t>
      </w:r>
      <w:r w:rsidR="00057917" w:rsidRPr="00057917">
        <w:rPr>
          <w:rFonts w:asciiTheme="minorHAnsi" w:hAnsiTheme="minorHAnsi" w:cstheme="minorHAnsi"/>
        </w:rPr>
        <w:t>P</w:t>
      </w:r>
      <w:r w:rsidRPr="00057917">
        <w:rPr>
          <w:rFonts w:asciiTheme="minorHAnsi" w:hAnsiTheme="minorHAnsi" w:cstheme="minorHAnsi"/>
        </w:rPr>
        <w:t>lan that addresses a three-year fiscal planning cycle. The plan shall</w:t>
      </w:r>
      <w:r w:rsidRPr="00203925">
        <w:rPr>
          <w:rFonts w:asciiTheme="minorHAnsi" w:hAnsiTheme="minorHAnsi" w:cstheme="minorHAnsi"/>
        </w:rPr>
        <w:t xml:space="preserve"> be updated at least once each year based on available dat</w:t>
      </w:r>
      <w:r w:rsidR="00D61E03">
        <w:rPr>
          <w:rFonts w:asciiTheme="minorHAnsi" w:hAnsiTheme="minorHAnsi" w:cstheme="minorHAnsi"/>
        </w:rPr>
        <w:t>a pertaining to the requirements of subdivision (b).</w:t>
      </w:r>
      <w:r w:rsidRPr="00203925">
        <w:rPr>
          <w:rFonts w:asciiTheme="minorHAnsi" w:hAnsiTheme="minorHAnsi" w:cstheme="minorHAnsi"/>
        </w:rPr>
        <w:t>”</w:t>
      </w:r>
    </w:p>
    <w:p w14:paraId="0EC417FA" w14:textId="13D8915D" w:rsidR="004867DF" w:rsidRDefault="004867DF" w:rsidP="00203925">
      <w:pPr>
        <w:pStyle w:val="Default"/>
        <w:rPr>
          <w:rFonts w:asciiTheme="minorHAnsi" w:hAnsiTheme="minorHAnsi" w:cstheme="minorHAnsi"/>
        </w:rPr>
      </w:pPr>
    </w:p>
    <w:p w14:paraId="14AF57BD" w14:textId="77777777" w:rsidR="004867DF" w:rsidRPr="00BB365D" w:rsidRDefault="004867DF" w:rsidP="004867DF">
      <w:pPr>
        <w:pStyle w:val="Default"/>
        <w:rPr>
          <w:rFonts w:asciiTheme="minorHAnsi" w:hAnsiTheme="minorHAnsi" w:cstheme="minorHAnsi"/>
          <w:color w:val="auto"/>
        </w:rPr>
      </w:pPr>
      <w:r w:rsidRPr="00BB365D">
        <w:rPr>
          <w:rFonts w:asciiTheme="minorHAnsi" w:hAnsiTheme="minorHAnsi" w:cstheme="minorHAnsi"/>
          <w:color w:val="auto"/>
        </w:rPr>
        <w:t>The new education code also included action steps that replaced the existing planning</w:t>
      </w:r>
    </w:p>
    <w:p w14:paraId="25C5BAC3" w14:textId="2F0EC41F" w:rsidR="004867DF" w:rsidRPr="00BB365D" w:rsidRDefault="004867DF" w:rsidP="004867DF">
      <w:pPr>
        <w:pStyle w:val="Default"/>
        <w:rPr>
          <w:rFonts w:asciiTheme="minorHAnsi" w:hAnsiTheme="minorHAnsi" w:cstheme="minorHAnsi"/>
          <w:color w:val="auto"/>
        </w:rPr>
      </w:pPr>
      <w:r w:rsidRPr="00BB365D">
        <w:rPr>
          <w:rFonts w:asciiTheme="minorHAnsi" w:hAnsiTheme="minorHAnsi" w:cstheme="minorHAnsi"/>
          <w:color w:val="auto"/>
        </w:rPr>
        <w:t>requirements that were part of the 2015-2018 and the 2019-2022 CAEP Three</w:t>
      </w:r>
      <w:r w:rsidR="00427592">
        <w:rPr>
          <w:rFonts w:asciiTheme="minorHAnsi" w:hAnsiTheme="minorHAnsi" w:cstheme="minorHAnsi"/>
          <w:color w:val="auto"/>
        </w:rPr>
        <w:t>-</w:t>
      </w:r>
      <w:r w:rsidRPr="00BB365D">
        <w:rPr>
          <w:rFonts w:asciiTheme="minorHAnsi" w:hAnsiTheme="minorHAnsi" w:cstheme="minorHAnsi"/>
          <w:color w:val="auto"/>
        </w:rPr>
        <w:t>Year</w:t>
      </w:r>
    </w:p>
    <w:p w14:paraId="4C33C6E0" w14:textId="14D98FC3" w:rsidR="004867DF" w:rsidRDefault="004867DF" w:rsidP="004867DF">
      <w:pPr>
        <w:pStyle w:val="Default"/>
        <w:rPr>
          <w:rFonts w:asciiTheme="minorHAnsi" w:hAnsiTheme="minorHAnsi" w:cstheme="minorHAnsi"/>
          <w:color w:val="auto"/>
        </w:rPr>
      </w:pPr>
      <w:r w:rsidRPr="00BB365D">
        <w:rPr>
          <w:rFonts w:asciiTheme="minorHAnsi" w:hAnsiTheme="minorHAnsi" w:cstheme="minorHAnsi"/>
          <w:color w:val="auto"/>
        </w:rPr>
        <w:t xml:space="preserve">Plan. Those EC </w:t>
      </w:r>
      <w:r w:rsidR="00D81E1A" w:rsidRPr="00D81E1A">
        <w:rPr>
          <w:rFonts w:asciiTheme="minorHAnsi" w:hAnsiTheme="minorHAnsi" w:cstheme="minorHAnsi"/>
          <w:color w:val="auto"/>
        </w:rPr>
        <w:t>§</w:t>
      </w:r>
      <w:r w:rsidRPr="00BB365D">
        <w:rPr>
          <w:rFonts w:asciiTheme="minorHAnsi" w:hAnsiTheme="minorHAnsi" w:cstheme="minorHAnsi"/>
          <w:color w:val="auto"/>
        </w:rPr>
        <w:t>84906 actions were as follows:</w:t>
      </w:r>
    </w:p>
    <w:p w14:paraId="36AF1E81" w14:textId="77777777" w:rsidR="0048310A" w:rsidRPr="00BB365D" w:rsidRDefault="0048310A" w:rsidP="004867DF">
      <w:pPr>
        <w:pStyle w:val="Default"/>
        <w:rPr>
          <w:rFonts w:asciiTheme="minorHAnsi" w:hAnsiTheme="minorHAnsi" w:cstheme="minorHAnsi"/>
          <w:color w:val="auto"/>
        </w:rPr>
      </w:pPr>
    </w:p>
    <w:p w14:paraId="20255EF7" w14:textId="0ED2E8A5" w:rsidR="004867DF" w:rsidRPr="00BB365D" w:rsidRDefault="004867DF" w:rsidP="004867DF">
      <w:pPr>
        <w:pStyle w:val="Default"/>
        <w:numPr>
          <w:ilvl w:val="0"/>
          <w:numId w:val="2"/>
        </w:numPr>
        <w:rPr>
          <w:rFonts w:asciiTheme="minorHAnsi" w:hAnsiTheme="minorHAnsi" w:cstheme="minorHAnsi"/>
          <w:color w:val="auto"/>
        </w:rPr>
      </w:pPr>
      <w:r w:rsidRPr="00BB365D">
        <w:rPr>
          <w:rFonts w:asciiTheme="minorHAnsi" w:hAnsiTheme="minorHAnsi" w:cstheme="minorHAnsi"/>
          <w:color w:val="auto"/>
        </w:rPr>
        <w:t>Actions that the members of the consortium will take to address the</w:t>
      </w:r>
    </w:p>
    <w:p w14:paraId="4E112D6E" w14:textId="77777777" w:rsidR="004867DF" w:rsidRPr="00BB365D" w:rsidRDefault="004867DF" w:rsidP="004867DF">
      <w:pPr>
        <w:pStyle w:val="Default"/>
        <w:ind w:firstLine="720"/>
        <w:rPr>
          <w:rFonts w:asciiTheme="minorHAnsi" w:hAnsiTheme="minorHAnsi" w:cstheme="minorHAnsi"/>
          <w:color w:val="auto"/>
        </w:rPr>
      </w:pPr>
      <w:r w:rsidRPr="00BB365D">
        <w:rPr>
          <w:rFonts w:asciiTheme="minorHAnsi" w:hAnsiTheme="minorHAnsi" w:cstheme="minorHAnsi"/>
          <w:color w:val="auto"/>
        </w:rPr>
        <w:t>educational needs.</w:t>
      </w:r>
    </w:p>
    <w:p w14:paraId="5341A978" w14:textId="6C8F3C82" w:rsidR="004867DF" w:rsidRPr="00BB365D" w:rsidRDefault="004867DF" w:rsidP="004867DF">
      <w:pPr>
        <w:pStyle w:val="Default"/>
        <w:numPr>
          <w:ilvl w:val="0"/>
          <w:numId w:val="2"/>
        </w:numPr>
        <w:rPr>
          <w:rFonts w:asciiTheme="minorHAnsi" w:hAnsiTheme="minorHAnsi" w:cstheme="minorHAnsi"/>
          <w:color w:val="auto"/>
        </w:rPr>
      </w:pPr>
      <w:r w:rsidRPr="00BB365D">
        <w:rPr>
          <w:rFonts w:asciiTheme="minorHAnsi" w:hAnsiTheme="minorHAnsi" w:cstheme="minorHAnsi"/>
          <w:color w:val="auto"/>
        </w:rPr>
        <w:t>Actions that the members of the consortium will take to improve the</w:t>
      </w:r>
    </w:p>
    <w:p w14:paraId="5B0AC8A3" w14:textId="77777777" w:rsidR="004867DF" w:rsidRPr="00BB365D" w:rsidRDefault="004867DF" w:rsidP="004867DF">
      <w:pPr>
        <w:pStyle w:val="Default"/>
        <w:ind w:firstLine="720"/>
        <w:rPr>
          <w:rFonts w:asciiTheme="minorHAnsi" w:hAnsiTheme="minorHAnsi" w:cstheme="minorHAnsi"/>
          <w:color w:val="auto"/>
        </w:rPr>
      </w:pPr>
      <w:r w:rsidRPr="00BB365D">
        <w:rPr>
          <w:rFonts w:asciiTheme="minorHAnsi" w:hAnsiTheme="minorHAnsi" w:cstheme="minorHAnsi"/>
          <w:color w:val="auto"/>
        </w:rPr>
        <w:t>effectiveness of their services.</w:t>
      </w:r>
    </w:p>
    <w:p w14:paraId="77F3E97C" w14:textId="6C001AA3" w:rsidR="004867DF" w:rsidRPr="00BB365D" w:rsidRDefault="004867DF" w:rsidP="004867DF">
      <w:pPr>
        <w:pStyle w:val="Default"/>
        <w:numPr>
          <w:ilvl w:val="0"/>
          <w:numId w:val="2"/>
        </w:numPr>
        <w:rPr>
          <w:rFonts w:asciiTheme="minorHAnsi" w:hAnsiTheme="minorHAnsi" w:cstheme="minorHAnsi"/>
          <w:color w:val="auto"/>
        </w:rPr>
      </w:pPr>
      <w:r w:rsidRPr="00BB365D">
        <w:rPr>
          <w:rFonts w:asciiTheme="minorHAnsi" w:hAnsiTheme="minorHAnsi" w:cstheme="minorHAnsi"/>
          <w:color w:val="auto"/>
        </w:rPr>
        <w:t>Actions that the members of the consortium will take to improve integration of</w:t>
      </w:r>
    </w:p>
    <w:p w14:paraId="635135FA" w14:textId="77777777" w:rsidR="004867DF" w:rsidRPr="00BB365D" w:rsidRDefault="004867DF" w:rsidP="004867DF">
      <w:pPr>
        <w:pStyle w:val="Default"/>
        <w:ind w:firstLine="720"/>
        <w:rPr>
          <w:rFonts w:asciiTheme="minorHAnsi" w:hAnsiTheme="minorHAnsi" w:cstheme="minorHAnsi"/>
          <w:color w:val="auto"/>
        </w:rPr>
      </w:pPr>
      <w:r w:rsidRPr="00BB365D">
        <w:rPr>
          <w:rFonts w:asciiTheme="minorHAnsi" w:hAnsiTheme="minorHAnsi" w:cstheme="minorHAnsi"/>
          <w:color w:val="auto"/>
        </w:rPr>
        <w:t>services and to improve transitions into postsecondary education and the</w:t>
      </w:r>
    </w:p>
    <w:p w14:paraId="3D90A272" w14:textId="17480933" w:rsidR="004867DF" w:rsidRDefault="004867DF" w:rsidP="004867DF">
      <w:pPr>
        <w:pStyle w:val="Default"/>
        <w:ind w:firstLine="720"/>
        <w:rPr>
          <w:rFonts w:asciiTheme="minorHAnsi" w:hAnsiTheme="minorHAnsi" w:cstheme="minorHAnsi"/>
        </w:rPr>
      </w:pPr>
      <w:r w:rsidRPr="00BB365D">
        <w:rPr>
          <w:rFonts w:asciiTheme="minorHAnsi" w:hAnsiTheme="minorHAnsi" w:cstheme="minorHAnsi"/>
          <w:color w:val="auto"/>
        </w:rPr>
        <w:t>workforce.</w:t>
      </w:r>
    </w:p>
    <w:p w14:paraId="41959955" w14:textId="77777777" w:rsidR="004867DF" w:rsidRPr="004867DF" w:rsidRDefault="004867DF" w:rsidP="004867DF">
      <w:pPr>
        <w:pStyle w:val="Default"/>
        <w:ind w:firstLine="720"/>
        <w:rPr>
          <w:rFonts w:asciiTheme="minorHAnsi" w:hAnsiTheme="minorHAnsi" w:cstheme="minorHAnsi"/>
        </w:rPr>
      </w:pPr>
    </w:p>
    <w:p w14:paraId="567B4B04" w14:textId="43FC1EC8" w:rsidR="004867DF" w:rsidRPr="00211305" w:rsidRDefault="004867DF" w:rsidP="00211305">
      <w:pPr>
        <w:pStyle w:val="Default"/>
        <w:jc w:val="both"/>
        <w:rPr>
          <w:rFonts w:asciiTheme="minorHAnsi" w:hAnsiTheme="minorHAnsi" w:cstheme="minorHAnsi"/>
        </w:rPr>
      </w:pPr>
      <w:r w:rsidRPr="004867DF">
        <w:rPr>
          <w:rFonts w:asciiTheme="minorHAnsi" w:hAnsiTheme="minorHAnsi" w:cstheme="minorHAnsi"/>
        </w:rPr>
        <w:t>Although, the education code change was too late to update the 2019-2022 CAEP</w:t>
      </w:r>
      <w:r w:rsidR="00E36EAB">
        <w:rPr>
          <w:rFonts w:asciiTheme="minorHAnsi" w:hAnsiTheme="minorHAnsi" w:cstheme="minorHAnsi"/>
        </w:rPr>
        <w:t xml:space="preserve"> </w:t>
      </w:r>
      <w:r w:rsidRPr="004867DF">
        <w:rPr>
          <w:rFonts w:asciiTheme="minorHAnsi" w:hAnsiTheme="minorHAnsi" w:cstheme="minorHAnsi"/>
        </w:rPr>
        <w:t>Three-Year Plan, the State began gearing up for the transition in 2020 by exploring how</w:t>
      </w:r>
      <w:r w:rsidR="00E36EAB">
        <w:rPr>
          <w:rFonts w:asciiTheme="minorHAnsi" w:hAnsiTheme="minorHAnsi" w:cstheme="minorHAnsi"/>
        </w:rPr>
        <w:t xml:space="preserve"> </w:t>
      </w:r>
      <w:r w:rsidRPr="004867DF">
        <w:rPr>
          <w:rFonts w:asciiTheme="minorHAnsi" w:hAnsiTheme="minorHAnsi" w:cstheme="minorHAnsi"/>
        </w:rPr>
        <w:t>these new</w:t>
      </w:r>
      <w:r w:rsidR="00E36EAB">
        <w:rPr>
          <w:rFonts w:asciiTheme="minorHAnsi" w:hAnsiTheme="minorHAnsi" w:cstheme="minorHAnsi"/>
        </w:rPr>
        <w:t xml:space="preserve"> </w:t>
      </w:r>
      <w:r w:rsidRPr="004867DF">
        <w:rPr>
          <w:rFonts w:asciiTheme="minorHAnsi" w:hAnsiTheme="minorHAnsi" w:cstheme="minorHAnsi"/>
        </w:rPr>
        <w:t>requirements would look in NOVA. Starting in Spring of 2021, the State</w:t>
      </w:r>
      <w:r w:rsidR="00E36EAB">
        <w:rPr>
          <w:rFonts w:asciiTheme="minorHAnsi" w:hAnsiTheme="minorHAnsi" w:cstheme="minorHAnsi"/>
        </w:rPr>
        <w:t xml:space="preserve"> </w:t>
      </w:r>
      <w:r w:rsidRPr="004867DF">
        <w:rPr>
          <w:rFonts w:asciiTheme="minorHAnsi" w:hAnsiTheme="minorHAnsi" w:cstheme="minorHAnsi"/>
        </w:rPr>
        <w:t>began making programming changes in NOVA, and drafting a new template and</w:t>
      </w:r>
      <w:r w:rsidR="00E36EAB">
        <w:rPr>
          <w:rFonts w:asciiTheme="minorHAnsi" w:hAnsiTheme="minorHAnsi" w:cstheme="minorHAnsi"/>
        </w:rPr>
        <w:t xml:space="preserve"> </w:t>
      </w:r>
      <w:r w:rsidRPr="004867DF">
        <w:rPr>
          <w:rFonts w:asciiTheme="minorHAnsi" w:hAnsiTheme="minorHAnsi" w:cstheme="minorHAnsi"/>
        </w:rPr>
        <w:t xml:space="preserve">guidance reflecting the changes </w:t>
      </w:r>
      <w:r w:rsidRPr="00057917">
        <w:rPr>
          <w:rFonts w:asciiTheme="minorHAnsi" w:hAnsiTheme="minorHAnsi" w:cstheme="minorHAnsi"/>
        </w:rPr>
        <w:lastRenderedPageBreak/>
        <w:t>to the 2022-2025 CAEP Three-Year Plan (which was</w:t>
      </w:r>
      <w:r w:rsidR="00E36EAB" w:rsidRPr="00057917">
        <w:rPr>
          <w:rFonts w:asciiTheme="minorHAnsi" w:hAnsiTheme="minorHAnsi" w:cstheme="minorHAnsi"/>
        </w:rPr>
        <w:t xml:space="preserve"> </w:t>
      </w:r>
      <w:r w:rsidRPr="00057917">
        <w:rPr>
          <w:rFonts w:asciiTheme="minorHAnsi" w:hAnsiTheme="minorHAnsi" w:cstheme="minorHAnsi"/>
        </w:rPr>
        <w:t>released in January 2022). In</w:t>
      </w:r>
      <w:r w:rsidR="00E36EAB" w:rsidRPr="00057917">
        <w:rPr>
          <w:rFonts w:asciiTheme="minorHAnsi" w:hAnsiTheme="minorHAnsi" w:cstheme="minorHAnsi"/>
        </w:rPr>
        <w:t xml:space="preserve"> </w:t>
      </w:r>
      <w:r w:rsidRPr="00057917">
        <w:rPr>
          <w:rFonts w:asciiTheme="minorHAnsi" w:hAnsiTheme="minorHAnsi" w:cstheme="minorHAnsi"/>
        </w:rPr>
        <w:t xml:space="preserve">addition, the State also aligned the </w:t>
      </w:r>
      <w:r w:rsidR="00057917" w:rsidRPr="00057917">
        <w:rPr>
          <w:rFonts w:asciiTheme="minorHAnsi" w:hAnsiTheme="minorHAnsi" w:cstheme="minorHAnsi"/>
        </w:rPr>
        <w:t xml:space="preserve">Annual Plan </w:t>
      </w:r>
      <w:r w:rsidRPr="00057917">
        <w:rPr>
          <w:rFonts w:asciiTheme="minorHAnsi" w:hAnsiTheme="minorHAnsi" w:cstheme="minorHAnsi"/>
        </w:rPr>
        <w:t>to the new</w:t>
      </w:r>
      <w:r w:rsidR="00E36EAB" w:rsidRPr="00057917">
        <w:rPr>
          <w:rFonts w:asciiTheme="minorHAnsi" w:hAnsiTheme="minorHAnsi" w:cstheme="minorHAnsi"/>
        </w:rPr>
        <w:t xml:space="preserve"> </w:t>
      </w:r>
      <w:r w:rsidRPr="00057917">
        <w:rPr>
          <w:rFonts w:asciiTheme="minorHAnsi" w:hAnsiTheme="minorHAnsi" w:cstheme="minorHAnsi"/>
        </w:rPr>
        <w:t>2022-2025 CAEP Three-Year Plan (completed in late Spring of 2022).</w:t>
      </w:r>
      <w:r w:rsidR="00BB365D" w:rsidRPr="00057917">
        <w:rPr>
          <w:rFonts w:asciiTheme="minorHAnsi" w:hAnsiTheme="minorHAnsi" w:cstheme="minorHAnsi"/>
        </w:rPr>
        <w:t xml:space="preserve"> </w:t>
      </w:r>
      <w:r w:rsidR="00211305" w:rsidRPr="00057917">
        <w:rPr>
          <w:rFonts w:asciiTheme="minorHAnsi" w:hAnsiTheme="minorHAnsi" w:cstheme="minorHAnsi"/>
        </w:rPr>
        <w:t>As such, the</w:t>
      </w:r>
      <w:r w:rsidR="00BB365D" w:rsidRPr="00057917">
        <w:rPr>
          <w:rFonts w:asciiTheme="minorHAnsi" w:hAnsiTheme="minorHAnsi" w:cstheme="minorHAnsi"/>
        </w:rPr>
        <w:t xml:space="preserve"> AB 86 planning requirements are now the </w:t>
      </w:r>
      <w:r w:rsidR="00E93B97" w:rsidRPr="00057917">
        <w:rPr>
          <w:rFonts w:asciiTheme="minorHAnsi" w:hAnsiTheme="minorHAnsi" w:cstheme="minorHAnsi"/>
        </w:rPr>
        <w:t>e</w:t>
      </w:r>
      <w:r w:rsidR="00BB365D" w:rsidRPr="00057917">
        <w:rPr>
          <w:rFonts w:asciiTheme="minorHAnsi" w:hAnsiTheme="minorHAnsi" w:cstheme="minorHAnsi"/>
        </w:rPr>
        <w:t xml:space="preserve">ducation </w:t>
      </w:r>
      <w:r w:rsidR="00E93B97" w:rsidRPr="00057917">
        <w:rPr>
          <w:rFonts w:asciiTheme="minorHAnsi" w:hAnsiTheme="minorHAnsi" w:cstheme="minorHAnsi"/>
        </w:rPr>
        <w:t>c</w:t>
      </w:r>
      <w:r w:rsidR="00BB365D" w:rsidRPr="00057917">
        <w:rPr>
          <w:rFonts w:asciiTheme="minorHAnsi" w:hAnsiTheme="minorHAnsi" w:cstheme="minorHAnsi"/>
        </w:rPr>
        <w:t xml:space="preserve">ode </w:t>
      </w:r>
      <w:r w:rsidR="00D81E1A" w:rsidRPr="00057917">
        <w:rPr>
          <w:rFonts w:asciiTheme="minorHAnsi" w:hAnsiTheme="minorHAnsi" w:cstheme="minorHAnsi"/>
        </w:rPr>
        <w:t>§</w:t>
      </w:r>
      <w:r w:rsidR="00211305" w:rsidRPr="00057917">
        <w:rPr>
          <w:rFonts w:asciiTheme="minorHAnsi" w:hAnsiTheme="minorHAnsi" w:cstheme="minorHAnsi"/>
        </w:rPr>
        <w:t xml:space="preserve">84906 </w:t>
      </w:r>
      <w:r w:rsidR="00F10CA4" w:rsidRPr="00057917">
        <w:rPr>
          <w:rFonts w:asciiTheme="minorHAnsi" w:hAnsiTheme="minorHAnsi" w:cstheme="minorHAnsi"/>
        </w:rPr>
        <w:t>actions</w:t>
      </w:r>
      <w:r w:rsidR="00BB365D" w:rsidRPr="00057917">
        <w:rPr>
          <w:rFonts w:asciiTheme="minorHAnsi" w:hAnsiTheme="minorHAnsi" w:cstheme="minorHAnsi"/>
        </w:rPr>
        <w:t xml:space="preserve"> in the </w:t>
      </w:r>
      <w:r w:rsidR="00057917" w:rsidRPr="00057917">
        <w:rPr>
          <w:rFonts w:asciiTheme="minorHAnsi" w:hAnsiTheme="minorHAnsi" w:cstheme="minorHAnsi"/>
        </w:rPr>
        <w:t>Annual Plan</w:t>
      </w:r>
      <w:r w:rsidR="00211305" w:rsidRPr="00057917">
        <w:rPr>
          <w:rFonts w:asciiTheme="minorHAnsi" w:hAnsiTheme="minorHAnsi" w:cstheme="minorHAnsi"/>
        </w:rPr>
        <w:t xml:space="preserve">. </w:t>
      </w:r>
      <w:r w:rsidRPr="00057917">
        <w:rPr>
          <w:rFonts w:asciiTheme="minorHAnsi" w:hAnsiTheme="minorHAnsi" w:cstheme="minorHAnsi"/>
          <w:color w:val="auto"/>
        </w:rPr>
        <w:t xml:space="preserve">Listed below is a crosswalk from AB 86 planning requirements to CAEP education code </w:t>
      </w:r>
      <w:r w:rsidR="00D81E1A" w:rsidRPr="00057917">
        <w:rPr>
          <w:rFonts w:asciiTheme="minorHAnsi" w:hAnsiTheme="minorHAnsi" w:cstheme="minorHAnsi"/>
          <w:color w:val="auto"/>
        </w:rPr>
        <w:t>§</w:t>
      </w:r>
      <w:r w:rsidR="00211305" w:rsidRPr="00057917">
        <w:rPr>
          <w:rFonts w:asciiTheme="minorHAnsi" w:hAnsiTheme="minorHAnsi" w:cstheme="minorHAnsi"/>
          <w:color w:val="auto"/>
        </w:rPr>
        <w:t xml:space="preserve">84906 </w:t>
      </w:r>
      <w:r w:rsidRPr="00057917">
        <w:rPr>
          <w:rFonts w:asciiTheme="minorHAnsi" w:hAnsiTheme="minorHAnsi" w:cstheme="minorHAnsi"/>
          <w:color w:val="auto"/>
        </w:rPr>
        <w:t>action requirements.</w:t>
      </w:r>
      <w:r w:rsidR="00211305" w:rsidRPr="00057917">
        <w:rPr>
          <w:rFonts w:asciiTheme="minorHAnsi" w:hAnsiTheme="minorHAnsi" w:cstheme="minorHAnsi"/>
          <w:color w:val="auto"/>
        </w:rPr>
        <w:t xml:space="preserve"> </w:t>
      </w:r>
      <w:r w:rsidR="00A1328F" w:rsidRPr="00057917">
        <w:rPr>
          <w:rFonts w:asciiTheme="minorHAnsi" w:hAnsiTheme="minorHAnsi" w:cstheme="minorHAnsi"/>
          <w:color w:val="auto"/>
        </w:rPr>
        <w:t xml:space="preserve">As consortia and members </w:t>
      </w:r>
      <w:r w:rsidR="00C7159D" w:rsidRPr="00057917">
        <w:rPr>
          <w:rFonts w:asciiTheme="minorHAnsi" w:hAnsiTheme="minorHAnsi" w:cstheme="minorHAnsi"/>
          <w:color w:val="auto"/>
        </w:rPr>
        <w:t xml:space="preserve">draft their </w:t>
      </w:r>
      <w:r w:rsidR="00057917" w:rsidRPr="00057917">
        <w:rPr>
          <w:rFonts w:asciiTheme="minorHAnsi" w:hAnsiTheme="minorHAnsi" w:cstheme="minorHAnsi"/>
        </w:rPr>
        <w:t>Annual Plan</w:t>
      </w:r>
      <w:r w:rsidR="00C7159D" w:rsidRPr="00057917">
        <w:rPr>
          <w:rFonts w:asciiTheme="minorHAnsi" w:hAnsiTheme="minorHAnsi" w:cstheme="minorHAnsi"/>
          <w:color w:val="auto"/>
        </w:rPr>
        <w:t xml:space="preserve">, </w:t>
      </w:r>
      <w:r w:rsidR="00E41234" w:rsidRPr="00057917">
        <w:rPr>
          <w:rFonts w:asciiTheme="minorHAnsi" w:hAnsiTheme="minorHAnsi" w:cstheme="minorHAnsi"/>
          <w:color w:val="auto"/>
        </w:rPr>
        <w:t xml:space="preserve">their strategies will address each of the education code </w:t>
      </w:r>
      <w:r w:rsidR="00D81E1A" w:rsidRPr="00057917">
        <w:rPr>
          <w:rFonts w:asciiTheme="minorHAnsi" w:hAnsiTheme="minorHAnsi" w:cstheme="minorHAnsi"/>
          <w:color w:val="auto"/>
        </w:rPr>
        <w:t>§</w:t>
      </w:r>
      <w:r w:rsidR="00E41234" w:rsidRPr="00057917">
        <w:rPr>
          <w:rFonts w:asciiTheme="minorHAnsi" w:hAnsiTheme="minorHAnsi" w:cstheme="minorHAnsi"/>
          <w:color w:val="auto"/>
        </w:rPr>
        <w:t>84906 actions</w:t>
      </w:r>
      <w:r w:rsidR="00C7159D" w:rsidRPr="00057917">
        <w:rPr>
          <w:rFonts w:asciiTheme="minorHAnsi" w:hAnsiTheme="minorHAnsi" w:cstheme="minorHAnsi"/>
          <w:color w:val="auto"/>
        </w:rPr>
        <w:t>.</w:t>
      </w:r>
    </w:p>
    <w:p w14:paraId="4E523250" w14:textId="42611728" w:rsidR="004867DF" w:rsidRPr="0018522D" w:rsidRDefault="004867DF" w:rsidP="00C97FD1">
      <w:pPr>
        <w:rPr>
          <w:rFonts w:asciiTheme="minorHAnsi" w:hAnsiTheme="minorHAnsi" w:cstheme="minorHAnsi"/>
          <w:color w:val="323232"/>
        </w:rPr>
      </w:pPr>
    </w:p>
    <w:tbl>
      <w:tblPr>
        <w:tblStyle w:val="TableGrid"/>
        <w:tblW w:w="0" w:type="auto"/>
        <w:tblLook w:val="04A0" w:firstRow="1" w:lastRow="0" w:firstColumn="1" w:lastColumn="0" w:noHBand="0" w:noVBand="1"/>
      </w:tblPr>
      <w:tblGrid>
        <w:gridCol w:w="3116"/>
        <w:gridCol w:w="3117"/>
        <w:gridCol w:w="3117"/>
      </w:tblGrid>
      <w:tr w:rsidR="004867DF" w:rsidRPr="0018522D" w14:paraId="3644BE30" w14:textId="77777777" w:rsidTr="004867DF">
        <w:tc>
          <w:tcPr>
            <w:tcW w:w="3116" w:type="dxa"/>
          </w:tcPr>
          <w:p w14:paraId="4C5206AB" w14:textId="116FBEFC" w:rsidR="004867DF" w:rsidRPr="0018522D" w:rsidRDefault="004867DF" w:rsidP="0018522D">
            <w:pPr>
              <w:jc w:val="center"/>
              <w:rPr>
                <w:rFonts w:asciiTheme="minorHAnsi" w:hAnsiTheme="minorHAnsi" w:cstheme="minorHAnsi"/>
                <w:b/>
                <w:bCs/>
              </w:rPr>
            </w:pPr>
            <w:r w:rsidRPr="0018522D">
              <w:rPr>
                <w:rFonts w:asciiTheme="minorHAnsi" w:hAnsiTheme="minorHAnsi" w:cstheme="minorHAnsi"/>
                <w:b/>
                <w:bCs/>
              </w:rPr>
              <w:t>AB 86 Planning</w:t>
            </w:r>
          </w:p>
        </w:tc>
        <w:tc>
          <w:tcPr>
            <w:tcW w:w="3117" w:type="dxa"/>
          </w:tcPr>
          <w:p w14:paraId="01D6B381" w14:textId="767B89CE" w:rsidR="004867DF" w:rsidRPr="0018522D" w:rsidRDefault="004867DF" w:rsidP="0018522D">
            <w:pPr>
              <w:jc w:val="center"/>
              <w:rPr>
                <w:rFonts w:asciiTheme="minorHAnsi" w:hAnsiTheme="minorHAnsi" w:cstheme="minorHAnsi"/>
                <w:b/>
                <w:bCs/>
              </w:rPr>
            </w:pPr>
            <w:r w:rsidRPr="0018522D">
              <w:rPr>
                <w:rFonts w:asciiTheme="minorHAnsi" w:hAnsiTheme="minorHAnsi" w:cstheme="minorHAnsi"/>
                <w:b/>
                <w:bCs/>
              </w:rPr>
              <w:t>Transition</w:t>
            </w:r>
          </w:p>
        </w:tc>
        <w:tc>
          <w:tcPr>
            <w:tcW w:w="3117" w:type="dxa"/>
          </w:tcPr>
          <w:p w14:paraId="24B10620" w14:textId="3F7D66A7" w:rsidR="004867DF" w:rsidRPr="0018522D" w:rsidRDefault="004867DF" w:rsidP="0018522D">
            <w:pPr>
              <w:jc w:val="center"/>
              <w:rPr>
                <w:rFonts w:asciiTheme="minorHAnsi" w:hAnsiTheme="minorHAnsi" w:cstheme="minorHAnsi"/>
                <w:b/>
                <w:bCs/>
              </w:rPr>
            </w:pPr>
            <w:r w:rsidRPr="0018522D">
              <w:rPr>
                <w:rFonts w:asciiTheme="minorHAnsi" w:hAnsiTheme="minorHAnsi" w:cstheme="minorHAnsi"/>
                <w:b/>
                <w:bCs/>
              </w:rPr>
              <w:t xml:space="preserve">Education Code </w:t>
            </w:r>
            <w:r w:rsidR="00D81E1A" w:rsidRPr="00D81E1A">
              <w:rPr>
                <w:rFonts w:asciiTheme="minorHAnsi" w:hAnsiTheme="minorHAnsi" w:cstheme="minorHAnsi"/>
                <w:b/>
                <w:bCs/>
              </w:rPr>
              <w:t>§</w:t>
            </w:r>
            <w:r w:rsidRPr="0018522D">
              <w:rPr>
                <w:rFonts w:asciiTheme="minorHAnsi" w:hAnsiTheme="minorHAnsi" w:cstheme="minorHAnsi"/>
                <w:b/>
                <w:bCs/>
              </w:rPr>
              <w:t>84906</w:t>
            </w:r>
          </w:p>
        </w:tc>
      </w:tr>
      <w:tr w:rsidR="004867DF" w:rsidRPr="0018522D" w14:paraId="7C7BA3F6" w14:textId="77777777" w:rsidTr="0060424C">
        <w:tc>
          <w:tcPr>
            <w:tcW w:w="3116" w:type="dxa"/>
          </w:tcPr>
          <w:p w14:paraId="0C4321A8" w14:textId="6F2FE645" w:rsidR="004867DF" w:rsidRPr="0018522D" w:rsidRDefault="004867DF" w:rsidP="004867DF">
            <w:pPr>
              <w:pStyle w:val="Default"/>
              <w:rPr>
                <w:rFonts w:asciiTheme="minorHAnsi" w:hAnsiTheme="minorHAnsi" w:cstheme="minorHAnsi"/>
                <w:color w:val="323232"/>
              </w:rPr>
            </w:pPr>
            <w:r w:rsidRPr="0018522D">
              <w:rPr>
                <w:rFonts w:asciiTheme="minorHAnsi" w:hAnsiTheme="minorHAnsi" w:cstheme="minorHAnsi"/>
                <w:color w:val="323232"/>
              </w:rPr>
              <w:t xml:space="preserve">Plans to address gaps in services. </w:t>
            </w:r>
          </w:p>
        </w:tc>
        <w:tc>
          <w:tcPr>
            <w:tcW w:w="3117" w:type="dxa"/>
            <w:vAlign w:val="center"/>
          </w:tcPr>
          <w:p w14:paraId="066EE2FB" w14:textId="04386641" w:rsidR="004867DF" w:rsidRPr="0018522D" w:rsidRDefault="006508F7" w:rsidP="0060424C">
            <w:pPr>
              <w:jc w:val="center"/>
              <w:rPr>
                <w:rFonts w:asciiTheme="minorHAnsi" w:hAnsiTheme="minorHAnsi" w:cstheme="minorHAnsi"/>
              </w:rPr>
            </w:pPr>
            <w:r>
              <w:rPr>
                <w:rFonts w:asciiTheme="minorHAnsi" w:hAnsiTheme="minorHAnsi" w:cstheme="minorHAnsi"/>
                <w:noProof/>
              </w:rPr>
              <mc:AlternateContent>
                <mc:Choice Requires="wps">
                  <w:drawing>
                    <wp:inline distT="0" distB="0" distL="0" distR="0" wp14:anchorId="02B77D72" wp14:editId="7004CDAE">
                      <wp:extent cx="1126066" cy="203200"/>
                      <wp:effectExtent l="12700" t="12700" r="29845" b="25400"/>
                      <wp:docPr id="1" name="Notched Right Arrow 1" descr="An arrow to describe the transition from AB 86 planning to AB 104."/>
                      <wp:cNvGraphicFramePr/>
                      <a:graphic xmlns:a="http://schemas.openxmlformats.org/drawingml/2006/main">
                        <a:graphicData uri="http://schemas.microsoft.com/office/word/2010/wordprocessingShape">
                          <wps:wsp>
                            <wps:cNvSpPr/>
                            <wps:spPr>
                              <a:xfrm>
                                <a:off x="0" y="0"/>
                                <a:ext cx="1126066" cy="2032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4AE1484"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 o:spid="_x0000_s1026" type="#_x0000_t94" alt="An arrow to describe the transition from AB 86 planning to AB 104." style="width:88.6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" adj="19651" fillcolor="#4472c4 [3204]" strokecolor="#1f3763 [1604]" strokeweight="1pt">
                      <w10:anchorlock/>
                    </v:shape>
                  </w:pict>
                </mc:Fallback>
              </mc:AlternateContent>
            </w:r>
          </w:p>
        </w:tc>
        <w:tc>
          <w:tcPr>
            <w:tcW w:w="3117" w:type="dxa"/>
          </w:tcPr>
          <w:p w14:paraId="67066C75" w14:textId="42CE3F78" w:rsidR="004867DF" w:rsidRPr="0018522D" w:rsidRDefault="0018522D" w:rsidP="00C97FD1">
            <w:pPr>
              <w:rPr>
                <w:rFonts w:asciiTheme="minorHAnsi" w:hAnsiTheme="minorHAnsi" w:cstheme="minorHAnsi"/>
              </w:rPr>
            </w:pPr>
            <w:r>
              <w:rPr>
                <w:rFonts w:asciiTheme="minorHAnsi" w:hAnsiTheme="minorHAnsi" w:cstheme="minorHAnsi"/>
              </w:rPr>
              <w:t>Actions to address the educational needs.</w:t>
            </w:r>
          </w:p>
        </w:tc>
      </w:tr>
      <w:tr w:rsidR="006508F7" w:rsidRPr="0018522D" w14:paraId="04915BD2" w14:textId="77777777" w:rsidTr="0060424C">
        <w:tc>
          <w:tcPr>
            <w:tcW w:w="3116" w:type="dxa"/>
          </w:tcPr>
          <w:p w14:paraId="145B7F1C" w14:textId="017D94C3" w:rsidR="006508F7" w:rsidRPr="0018522D" w:rsidRDefault="006508F7" w:rsidP="0018522D">
            <w:pPr>
              <w:pStyle w:val="Default"/>
              <w:rPr>
                <w:rFonts w:asciiTheme="minorHAnsi" w:hAnsiTheme="minorHAnsi" w:cstheme="minorHAnsi"/>
                <w:color w:val="323232"/>
              </w:rPr>
            </w:pPr>
            <w:r w:rsidRPr="0018522D">
              <w:rPr>
                <w:rFonts w:asciiTheme="minorHAnsi" w:hAnsiTheme="minorHAnsi" w:cstheme="minorHAnsi"/>
                <w:color w:val="323232"/>
              </w:rPr>
              <w:t xml:space="preserve">Plans to integrate &amp; create seamless transitions into postsecondary education or the workforce. </w:t>
            </w:r>
          </w:p>
        </w:tc>
        <w:tc>
          <w:tcPr>
            <w:tcW w:w="3117" w:type="dxa"/>
            <w:vAlign w:val="center"/>
          </w:tcPr>
          <w:p w14:paraId="15282247" w14:textId="7D986F16" w:rsidR="006508F7" w:rsidRPr="0018522D" w:rsidRDefault="00522204" w:rsidP="0060424C">
            <w:pPr>
              <w:jc w:val="center"/>
              <w:rPr>
                <w:rFonts w:asciiTheme="minorHAnsi" w:hAnsiTheme="minorHAnsi" w:cstheme="minorHAnsi"/>
              </w:rPr>
            </w:pPr>
            <w:r>
              <w:rPr>
                <w:rFonts w:asciiTheme="minorHAnsi" w:hAnsiTheme="minorHAnsi" w:cstheme="minorHAnsi"/>
                <w:noProof/>
              </w:rPr>
              <mc:AlternateContent>
                <mc:Choice Requires="wps">
                  <w:drawing>
                    <wp:inline distT="0" distB="0" distL="0" distR="0" wp14:anchorId="5BEA9F31" wp14:editId="33142029">
                      <wp:extent cx="1126066" cy="203200"/>
                      <wp:effectExtent l="12700" t="12700" r="29845" b="25400"/>
                      <wp:docPr id="6" name="Notched Right Arrow 6" descr="An arrow to describe the transition from AB 86 planning to AB 104."/>
                      <wp:cNvGraphicFramePr/>
                      <a:graphic xmlns:a="http://schemas.openxmlformats.org/drawingml/2006/main">
                        <a:graphicData uri="http://schemas.microsoft.com/office/word/2010/wordprocessingShape">
                          <wps:wsp>
                            <wps:cNvSpPr/>
                            <wps:spPr>
                              <a:xfrm>
                                <a:off x="0" y="0"/>
                                <a:ext cx="1126066" cy="2032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1DE059" w14:textId="01BBBDE9" w:rsidR="0060424C" w:rsidRDefault="0060424C" w:rsidP="0060424C">
                                  <w:pPr>
                                    <w:jc w:val="center"/>
                                  </w:pPr>
                                  <w:r w:rsidRPr="0060424C">
                                    <w:t>An arrow to describe the transition from AB 86 planning to AB 104.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BEA9F31"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26" type="#_x0000_t94" alt="An arrow to describe the transition from AB 86 planning to AB 104." style="width:88.6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" adj="19651" fillcolor="#4472c4 [3204]" strokecolor="#1f3763 [1604]" strokeweight="1pt">
                      <v:textbox>
                        <w:txbxContent>
                          <w:p w14:paraId="601DE059" w14:textId="01BBBDE9" w:rsidR="0060424C" w:rsidRDefault="0060424C" w:rsidP="0060424C">
                            <w:pPr>
                              <w:jc w:val="center"/>
                            </w:pPr>
                            <w:r w:rsidRPr="0060424C">
                              <w:t>An arrow to describe the transition from AB 86 planning to AB 104.</w:t>
                            </w:r>
                          </w:p>
                        </w:txbxContent>
                      </v:textbox>
                      <w10:anchorlock/>
                    </v:shape>
                  </w:pict>
                </mc:Fallback>
              </mc:AlternateContent>
            </w:r>
          </w:p>
        </w:tc>
        <w:tc>
          <w:tcPr>
            <w:tcW w:w="3117" w:type="dxa"/>
            <w:vMerge w:val="restart"/>
          </w:tcPr>
          <w:p w14:paraId="3FB7ADBF" w14:textId="1E6FAC71" w:rsidR="006508F7" w:rsidRPr="0018522D" w:rsidRDefault="006508F7" w:rsidP="00C97FD1">
            <w:pPr>
              <w:rPr>
                <w:rFonts w:asciiTheme="minorHAnsi" w:hAnsiTheme="minorHAnsi" w:cstheme="minorHAnsi"/>
              </w:rPr>
            </w:pPr>
            <w:r>
              <w:rPr>
                <w:rFonts w:asciiTheme="minorHAnsi" w:hAnsiTheme="minorHAnsi" w:cstheme="minorHAnsi"/>
              </w:rPr>
              <w:t>Actions that the members of the consortium will take to improve integration of services and to improve transitions into postsecondary education and the workforce.</w:t>
            </w:r>
          </w:p>
        </w:tc>
      </w:tr>
      <w:tr w:rsidR="006508F7" w:rsidRPr="0018522D" w14:paraId="01180811" w14:textId="77777777" w:rsidTr="0060424C">
        <w:tc>
          <w:tcPr>
            <w:tcW w:w="3116" w:type="dxa"/>
          </w:tcPr>
          <w:p w14:paraId="77B97547" w14:textId="1686D1FC" w:rsidR="006508F7" w:rsidRPr="0018522D" w:rsidRDefault="006508F7" w:rsidP="00C97FD1">
            <w:pPr>
              <w:rPr>
                <w:rFonts w:asciiTheme="minorHAnsi" w:hAnsiTheme="minorHAnsi" w:cstheme="minorHAnsi"/>
              </w:rPr>
            </w:pPr>
            <w:r w:rsidRPr="0018522D">
              <w:rPr>
                <w:rFonts w:asciiTheme="minorHAnsi" w:hAnsiTheme="minorHAnsi" w:cstheme="minorHAnsi"/>
              </w:rPr>
              <w:t>Plans to accelerate a student’s progress.</w:t>
            </w:r>
          </w:p>
        </w:tc>
        <w:tc>
          <w:tcPr>
            <w:tcW w:w="3117" w:type="dxa"/>
            <w:vAlign w:val="center"/>
          </w:tcPr>
          <w:p w14:paraId="20D520BA" w14:textId="424A4503" w:rsidR="006508F7" w:rsidRPr="0018522D" w:rsidRDefault="00522204" w:rsidP="0060424C">
            <w:pPr>
              <w:jc w:val="center"/>
              <w:rPr>
                <w:rFonts w:asciiTheme="minorHAnsi" w:hAnsiTheme="minorHAnsi" w:cstheme="minorHAnsi"/>
              </w:rPr>
            </w:pPr>
            <w:r>
              <w:rPr>
                <w:rFonts w:asciiTheme="minorHAnsi" w:hAnsiTheme="minorHAnsi" w:cstheme="minorHAnsi"/>
                <w:noProof/>
              </w:rPr>
              <mc:AlternateContent>
                <mc:Choice Requires="wps">
                  <w:drawing>
                    <wp:inline distT="0" distB="0" distL="0" distR="0" wp14:anchorId="36466067" wp14:editId="0FA2F1A4">
                      <wp:extent cx="1126066" cy="203200"/>
                      <wp:effectExtent l="12700" t="12700" r="29845" b="25400"/>
                      <wp:docPr id="7" name="Notched Right Arrow 7" descr="An arrow to describe the transition from AB 86 planning to AB 104."/>
                      <wp:cNvGraphicFramePr/>
                      <a:graphic xmlns:a="http://schemas.openxmlformats.org/drawingml/2006/main">
                        <a:graphicData uri="http://schemas.microsoft.com/office/word/2010/wordprocessingShape">
                          <wps:wsp>
                            <wps:cNvSpPr/>
                            <wps:spPr>
                              <a:xfrm>
                                <a:off x="0" y="0"/>
                                <a:ext cx="1126066" cy="2032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B14D3F" id="Notched Right Arrow 7" o:spid="_x0000_s1026" type="#_x0000_t94" alt="An arrow to describe the transition from AB 86 planning to AB 104." style="width:88.6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" adj="19651" fillcolor="#4472c4 [3204]" strokecolor="#1f3763 [1604]" strokeweight="1pt">
                      <w10:anchorlock/>
                    </v:shape>
                  </w:pict>
                </mc:Fallback>
              </mc:AlternateContent>
            </w:r>
          </w:p>
        </w:tc>
        <w:tc>
          <w:tcPr>
            <w:tcW w:w="3117" w:type="dxa"/>
            <w:vMerge/>
          </w:tcPr>
          <w:p w14:paraId="2B5543D5" w14:textId="1CAEB8F2" w:rsidR="006508F7" w:rsidRPr="0018522D" w:rsidRDefault="006508F7" w:rsidP="00C97FD1">
            <w:pPr>
              <w:rPr>
                <w:rFonts w:asciiTheme="minorHAnsi" w:hAnsiTheme="minorHAnsi" w:cstheme="minorHAnsi"/>
              </w:rPr>
            </w:pPr>
          </w:p>
        </w:tc>
      </w:tr>
      <w:tr w:rsidR="004867DF" w:rsidRPr="0018522D" w14:paraId="513E5CED" w14:textId="77777777" w:rsidTr="003C1A12">
        <w:tc>
          <w:tcPr>
            <w:tcW w:w="3116" w:type="dxa"/>
          </w:tcPr>
          <w:p w14:paraId="2614CE58" w14:textId="00A5AF73" w:rsidR="004867DF" w:rsidRPr="0018522D" w:rsidRDefault="0018522D" w:rsidP="00C97FD1">
            <w:pPr>
              <w:rPr>
                <w:rFonts w:asciiTheme="minorHAnsi" w:hAnsiTheme="minorHAnsi" w:cstheme="minorHAnsi"/>
              </w:rPr>
            </w:pPr>
            <w:r w:rsidRPr="0018522D">
              <w:rPr>
                <w:rFonts w:asciiTheme="minorHAnsi" w:hAnsiTheme="minorHAnsi" w:cstheme="minorHAnsi"/>
              </w:rPr>
              <w:t>Plans to collaborate in the provision of ongoing professional development.</w:t>
            </w:r>
          </w:p>
        </w:tc>
        <w:tc>
          <w:tcPr>
            <w:tcW w:w="3117" w:type="dxa"/>
            <w:vAlign w:val="center"/>
          </w:tcPr>
          <w:p w14:paraId="073CD52C" w14:textId="3183FC5D" w:rsidR="004867DF" w:rsidRPr="0018522D" w:rsidRDefault="00522204" w:rsidP="003C1A12">
            <w:pPr>
              <w:jc w:val="center"/>
              <w:rPr>
                <w:rFonts w:asciiTheme="minorHAnsi" w:hAnsiTheme="minorHAnsi" w:cstheme="minorHAnsi"/>
              </w:rPr>
            </w:pPr>
            <w:r>
              <w:rPr>
                <w:rFonts w:asciiTheme="minorHAnsi" w:hAnsiTheme="minorHAnsi" w:cstheme="minorHAnsi"/>
                <w:noProof/>
              </w:rPr>
              <mc:AlternateContent>
                <mc:Choice Requires="wps">
                  <w:drawing>
                    <wp:inline distT="0" distB="0" distL="0" distR="0" wp14:anchorId="2F75461E" wp14:editId="1F0D81E7">
                      <wp:extent cx="1126066" cy="203200"/>
                      <wp:effectExtent l="12700" t="12700" r="29845" b="25400"/>
                      <wp:docPr id="8" name="Notched Right Arrow 8" descr="An arrow to describe the transition from AB 86 planning to AB 104."/>
                      <wp:cNvGraphicFramePr/>
                      <a:graphic xmlns:a="http://schemas.openxmlformats.org/drawingml/2006/main">
                        <a:graphicData uri="http://schemas.microsoft.com/office/word/2010/wordprocessingShape">
                          <wps:wsp>
                            <wps:cNvSpPr/>
                            <wps:spPr>
                              <a:xfrm>
                                <a:off x="0" y="0"/>
                                <a:ext cx="1126066" cy="2032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71BDDF" id="Notched Right Arrow 8" o:spid="_x0000_s1026" type="#_x0000_t94" alt="An arrow to describe the transition from AB 86 planning to AB 104." style="width:88.6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" adj="19651" fillcolor="#4472c4 [3204]" strokecolor="#1f3763 [1604]" strokeweight="1pt">
                      <w10:anchorlock/>
                    </v:shape>
                  </w:pict>
                </mc:Fallback>
              </mc:AlternateContent>
            </w:r>
          </w:p>
        </w:tc>
        <w:tc>
          <w:tcPr>
            <w:tcW w:w="3117" w:type="dxa"/>
          </w:tcPr>
          <w:p w14:paraId="43CAAC3C" w14:textId="75F9E62A" w:rsidR="004867DF" w:rsidRPr="0018522D" w:rsidRDefault="006508F7" w:rsidP="00C97FD1">
            <w:pPr>
              <w:rPr>
                <w:rFonts w:asciiTheme="minorHAnsi" w:hAnsiTheme="minorHAnsi" w:cstheme="minorHAnsi"/>
              </w:rPr>
            </w:pPr>
            <w:r>
              <w:rPr>
                <w:rFonts w:asciiTheme="minorHAnsi" w:hAnsiTheme="minorHAnsi" w:cstheme="minorHAnsi"/>
              </w:rPr>
              <w:t>Actions to improve the effectiveness of their services.</w:t>
            </w:r>
          </w:p>
        </w:tc>
      </w:tr>
      <w:tr w:rsidR="004867DF" w:rsidRPr="0018522D" w14:paraId="07F4193F" w14:textId="77777777" w:rsidTr="003C1A12">
        <w:tc>
          <w:tcPr>
            <w:tcW w:w="3116" w:type="dxa"/>
          </w:tcPr>
          <w:p w14:paraId="4BA57D87" w14:textId="1A02BB7F" w:rsidR="004867DF" w:rsidRPr="0018522D" w:rsidRDefault="0018522D" w:rsidP="00C97FD1">
            <w:pPr>
              <w:rPr>
                <w:rFonts w:asciiTheme="minorHAnsi" w:hAnsiTheme="minorHAnsi" w:cstheme="minorHAnsi"/>
              </w:rPr>
            </w:pPr>
            <w:r w:rsidRPr="0018522D">
              <w:rPr>
                <w:rFonts w:asciiTheme="minorHAnsi" w:hAnsiTheme="minorHAnsi" w:cstheme="minorHAnsi"/>
              </w:rPr>
              <w:t>Plans to leverage existing regional structures.</w:t>
            </w:r>
          </w:p>
        </w:tc>
        <w:tc>
          <w:tcPr>
            <w:tcW w:w="3117" w:type="dxa"/>
            <w:vAlign w:val="center"/>
          </w:tcPr>
          <w:p w14:paraId="26CD7F4F" w14:textId="5A4438C8" w:rsidR="004867DF" w:rsidRPr="0018522D" w:rsidRDefault="00522204" w:rsidP="003C1A12">
            <w:pPr>
              <w:jc w:val="center"/>
              <w:rPr>
                <w:rFonts w:asciiTheme="minorHAnsi" w:hAnsiTheme="minorHAnsi" w:cstheme="minorHAnsi"/>
              </w:rPr>
            </w:pPr>
            <w:r>
              <w:rPr>
                <w:rFonts w:asciiTheme="minorHAnsi" w:hAnsiTheme="minorHAnsi" w:cstheme="minorHAnsi"/>
                <w:noProof/>
              </w:rPr>
              <mc:AlternateContent>
                <mc:Choice Requires="wps">
                  <w:drawing>
                    <wp:inline distT="0" distB="0" distL="0" distR="0" wp14:anchorId="064346F9" wp14:editId="767A89F3">
                      <wp:extent cx="1126066" cy="203200"/>
                      <wp:effectExtent l="12700" t="12700" r="29845" b="25400"/>
                      <wp:docPr id="9" name="Notched Right Arrow 9" descr="An arrow to describe the transition from AB 86 planning to AB 104."/>
                      <wp:cNvGraphicFramePr/>
                      <a:graphic xmlns:a="http://schemas.openxmlformats.org/drawingml/2006/main">
                        <a:graphicData uri="http://schemas.microsoft.com/office/word/2010/wordprocessingShape">
                          <wps:wsp>
                            <wps:cNvSpPr/>
                            <wps:spPr>
                              <a:xfrm>
                                <a:off x="0" y="0"/>
                                <a:ext cx="1126066" cy="2032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D6B517" id="Notched Right Arrow 9" o:spid="_x0000_s1026" type="#_x0000_t94" alt="An arrow to describe the transition from AB 86 planning to AB 104." style="width:88.6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" adj="19651" fillcolor="#4472c4 [3204]" strokecolor="#1f3763 [1604]" strokeweight="1pt">
                      <w10:anchorlock/>
                    </v:shape>
                  </w:pict>
                </mc:Fallback>
              </mc:AlternateContent>
            </w:r>
          </w:p>
        </w:tc>
        <w:tc>
          <w:tcPr>
            <w:tcW w:w="3117" w:type="dxa"/>
          </w:tcPr>
          <w:p w14:paraId="3499B651" w14:textId="5ED06A2F" w:rsidR="004867DF" w:rsidRPr="0018522D" w:rsidRDefault="006508F7" w:rsidP="00C97FD1">
            <w:pPr>
              <w:rPr>
                <w:rFonts w:asciiTheme="minorHAnsi" w:hAnsiTheme="minorHAnsi" w:cstheme="minorHAnsi"/>
              </w:rPr>
            </w:pPr>
            <w:r>
              <w:rPr>
                <w:rFonts w:asciiTheme="minorHAnsi" w:hAnsiTheme="minorHAnsi" w:cstheme="minorHAnsi"/>
              </w:rPr>
              <w:t>Actions to address the educational needs.</w:t>
            </w:r>
          </w:p>
        </w:tc>
      </w:tr>
    </w:tbl>
    <w:p w14:paraId="21C2292F" w14:textId="77777777" w:rsidR="004867DF" w:rsidRPr="00C97FD1" w:rsidRDefault="004867DF" w:rsidP="00C97FD1"/>
    <w:p w14:paraId="7D3EFE45" w14:textId="77777777" w:rsidR="008D73D6" w:rsidRDefault="008D73D6" w:rsidP="00F964B9">
      <w:pPr>
        <w:pStyle w:val="Heading2"/>
        <w:rPr>
          <w:b/>
          <w:bCs/>
        </w:rPr>
      </w:pPr>
    </w:p>
    <w:p w14:paraId="6CB01362" w14:textId="6EB26D9B" w:rsidR="009936B2" w:rsidRDefault="00F964B9" w:rsidP="00F964B9">
      <w:pPr>
        <w:pStyle w:val="Heading2"/>
        <w:rPr>
          <w:b/>
          <w:bCs/>
        </w:rPr>
      </w:pPr>
      <w:r w:rsidRPr="00F964B9">
        <w:rPr>
          <w:b/>
          <w:bCs/>
        </w:rPr>
        <w:t>DEVELOPING YOUR ANNUAL PLAN CONTENT</w:t>
      </w:r>
    </w:p>
    <w:p w14:paraId="4E23D143" w14:textId="4F1FDE37" w:rsidR="003273F2" w:rsidRDefault="003273F2" w:rsidP="003273F2"/>
    <w:p w14:paraId="6E9496A1" w14:textId="71622BB4" w:rsidR="003273F2" w:rsidRPr="00057917" w:rsidRDefault="003273F2" w:rsidP="003273F2">
      <w:pPr>
        <w:rPr>
          <w:rFonts w:asciiTheme="minorHAnsi" w:hAnsiTheme="minorHAnsi" w:cstheme="minorHAnsi"/>
        </w:rPr>
      </w:pPr>
      <w:r w:rsidRPr="00057917">
        <w:rPr>
          <w:rFonts w:asciiTheme="minorHAnsi" w:hAnsiTheme="minorHAnsi" w:cstheme="minorHAnsi"/>
        </w:rPr>
        <w:t xml:space="preserve">This section of the </w:t>
      </w:r>
      <w:r w:rsidR="00057917" w:rsidRPr="00057917">
        <w:rPr>
          <w:rFonts w:asciiTheme="minorHAnsi" w:hAnsiTheme="minorHAnsi" w:cstheme="minorHAnsi"/>
        </w:rPr>
        <w:t>A</w:t>
      </w:r>
      <w:r w:rsidRPr="00057917">
        <w:rPr>
          <w:rFonts w:asciiTheme="minorHAnsi" w:hAnsiTheme="minorHAnsi" w:cstheme="minorHAnsi"/>
        </w:rPr>
        <w:t xml:space="preserve">nnual </w:t>
      </w:r>
      <w:r w:rsidR="00057917" w:rsidRPr="00057917">
        <w:rPr>
          <w:rFonts w:asciiTheme="minorHAnsi" w:hAnsiTheme="minorHAnsi" w:cstheme="minorHAnsi"/>
        </w:rPr>
        <w:t>P</w:t>
      </w:r>
      <w:r w:rsidRPr="00057917">
        <w:rPr>
          <w:rFonts w:asciiTheme="minorHAnsi" w:hAnsiTheme="minorHAnsi" w:cstheme="minorHAnsi"/>
        </w:rPr>
        <w:t xml:space="preserve">lan </w:t>
      </w:r>
      <w:r w:rsidR="00057917" w:rsidRPr="00057917">
        <w:rPr>
          <w:rFonts w:asciiTheme="minorHAnsi" w:hAnsiTheme="minorHAnsi" w:cstheme="minorHAnsi"/>
        </w:rPr>
        <w:t>G</w:t>
      </w:r>
      <w:r w:rsidRPr="00057917">
        <w:rPr>
          <w:rFonts w:asciiTheme="minorHAnsi" w:hAnsiTheme="minorHAnsi" w:cstheme="minorHAnsi"/>
        </w:rPr>
        <w:t>uidance will provide a step-by-</w:t>
      </w:r>
      <w:r w:rsidR="0017430E" w:rsidRPr="00057917">
        <w:rPr>
          <w:rFonts w:asciiTheme="minorHAnsi" w:hAnsiTheme="minorHAnsi" w:cstheme="minorHAnsi"/>
        </w:rPr>
        <w:t>step guide</w:t>
      </w:r>
      <w:r w:rsidRPr="00057917">
        <w:rPr>
          <w:rFonts w:asciiTheme="minorHAnsi" w:hAnsiTheme="minorHAnsi" w:cstheme="minorHAnsi"/>
        </w:rPr>
        <w:t xml:space="preserve"> to developing content for the </w:t>
      </w:r>
      <w:r w:rsidR="00057917" w:rsidRPr="00057917">
        <w:rPr>
          <w:rFonts w:asciiTheme="minorHAnsi" w:hAnsiTheme="minorHAnsi" w:cstheme="minorHAnsi"/>
        </w:rPr>
        <w:t>A</w:t>
      </w:r>
      <w:r w:rsidRPr="00057917">
        <w:rPr>
          <w:rFonts w:asciiTheme="minorHAnsi" w:hAnsiTheme="minorHAnsi" w:cstheme="minorHAnsi"/>
        </w:rPr>
        <w:t xml:space="preserve">nnual </w:t>
      </w:r>
      <w:r w:rsidR="00057917" w:rsidRPr="00057917">
        <w:rPr>
          <w:rFonts w:asciiTheme="minorHAnsi" w:hAnsiTheme="minorHAnsi" w:cstheme="minorHAnsi"/>
        </w:rPr>
        <w:t>P</w:t>
      </w:r>
      <w:r w:rsidRPr="00057917">
        <w:rPr>
          <w:rFonts w:asciiTheme="minorHAnsi" w:hAnsiTheme="minorHAnsi" w:cstheme="minorHAnsi"/>
        </w:rPr>
        <w:t>lan. Use this guide to complete the annual plan and enter the final plan content into NOVA.</w:t>
      </w:r>
    </w:p>
    <w:p w14:paraId="437B93F4" w14:textId="76E7DE11" w:rsidR="003273F2" w:rsidRPr="00057917" w:rsidRDefault="003273F2" w:rsidP="003273F2">
      <w:pPr>
        <w:rPr>
          <w:rFonts w:asciiTheme="minorHAnsi" w:hAnsiTheme="minorHAnsi" w:cstheme="minorHAnsi"/>
        </w:rPr>
      </w:pPr>
    </w:p>
    <w:p w14:paraId="383F17A1" w14:textId="177BE350" w:rsidR="003273F2" w:rsidRPr="00057917" w:rsidRDefault="003273F2" w:rsidP="00850C2C">
      <w:pPr>
        <w:pStyle w:val="Heading2"/>
        <w:rPr>
          <w:b/>
          <w:bCs/>
        </w:rPr>
      </w:pPr>
      <w:r w:rsidRPr="00057917">
        <w:rPr>
          <w:b/>
          <w:bCs/>
        </w:rPr>
        <w:t xml:space="preserve">Section 1: Plans </w:t>
      </w:r>
      <w:r w:rsidR="00850C2C" w:rsidRPr="00057917">
        <w:rPr>
          <w:b/>
          <w:bCs/>
        </w:rPr>
        <w:t>&amp; Goals</w:t>
      </w:r>
    </w:p>
    <w:p w14:paraId="06CC3CE6" w14:textId="6448E5F2" w:rsidR="00850C2C" w:rsidRPr="00057917" w:rsidRDefault="00850C2C" w:rsidP="00850C2C"/>
    <w:p w14:paraId="5BAA5D10" w14:textId="7A5B0947" w:rsidR="00850C2C" w:rsidRDefault="00A05FC5" w:rsidP="0017430E">
      <w:pPr>
        <w:jc w:val="both"/>
        <w:rPr>
          <w:rFonts w:asciiTheme="minorHAnsi" w:hAnsiTheme="minorHAnsi" w:cstheme="minorHAnsi"/>
        </w:rPr>
      </w:pPr>
      <w:r w:rsidRPr="00057917">
        <w:rPr>
          <w:rFonts w:asciiTheme="minorHAnsi" w:hAnsiTheme="minorHAnsi" w:cstheme="minorHAnsi"/>
        </w:rPr>
        <w:t xml:space="preserve">The plans and goals section will include an executive summary, a regional planning overview, and how the </w:t>
      </w:r>
      <w:r w:rsidR="00057917" w:rsidRPr="00057917">
        <w:rPr>
          <w:rFonts w:asciiTheme="minorHAnsi" w:hAnsiTheme="minorHAnsi" w:cstheme="minorHAnsi"/>
        </w:rPr>
        <w:t>Annual Plan</w:t>
      </w:r>
      <w:r w:rsidRPr="00A05FC5">
        <w:rPr>
          <w:rFonts w:asciiTheme="minorHAnsi" w:hAnsiTheme="minorHAnsi" w:cstheme="minorHAnsi"/>
        </w:rPr>
        <w:t xml:space="preserve"> will meet the identified regional needs.</w:t>
      </w:r>
      <w:r>
        <w:rPr>
          <w:rFonts w:asciiTheme="minorHAnsi" w:hAnsiTheme="minorHAnsi" w:cstheme="minorHAnsi"/>
        </w:rPr>
        <w:t xml:space="preserve"> </w:t>
      </w:r>
      <w:r w:rsidR="0043349E">
        <w:rPr>
          <w:rFonts w:asciiTheme="minorHAnsi" w:hAnsiTheme="minorHAnsi" w:cstheme="minorHAnsi"/>
        </w:rPr>
        <w:t xml:space="preserve">In the first part of this section, consortia and members will provide an executive summary of their implementation plan for the 2022-23 program year. </w:t>
      </w:r>
      <w:r w:rsidR="0043349E" w:rsidRPr="0043349E">
        <w:rPr>
          <w:rFonts w:asciiTheme="minorHAnsi" w:hAnsiTheme="minorHAnsi" w:cstheme="minorHAnsi"/>
        </w:rPr>
        <w:t xml:space="preserve">The </w:t>
      </w:r>
      <w:r w:rsidR="00CC7993">
        <w:rPr>
          <w:rFonts w:asciiTheme="minorHAnsi" w:hAnsiTheme="minorHAnsi" w:cstheme="minorHAnsi"/>
        </w:rPr>
        <w:t xml:space="preserve">executive </w:t>
      </w:r>
      <w:r w:rsidR="0043349E" w:rsidRPr="0043349E">
        <w:rPr>
          <w:rFonts w:asciiTheme="minorHAnsi" w:hAnsiTheme="minorHAnsi" w:cstheme="minorHAnsi"/>
        </w:rPr>
        <w:t>summary will include a narrative justifying how the planned allocations are consistent with the consortium’s current three-year</w:t>
      </w:r>
      <w:r w:rsidR="001A27BA">
        <w:rPr>
          <w:rFonts w:asciiTheme="minorHAnsi" w:hAnsiTheme="minorHAnsi" w:cstheme="minorHAnsi"/>
        </w:rPr>
        <w:t xml:space="preserve"> </w:t>
      </w:r>
      <w:r w:rsidR="0043349E" w:rsidRPr="0043349E">
        <w:rPr>
          <w:rFonts w:asciiTheme="minorHAnsi" w:hAnsiTheme="minorHAnsi" w:cstheme="minorHAnsi"/>
        </w:rPr>
        <w:t xml:space="preserve">adult education plan. Additionally, </w:t>
      </w:r>
      <w:r w:rsidR="0043349E">
        <w:rPr>
          <w:rFonts w:asciiTheme="minorHAnsi" w:hAnsiTheme="minorHAnsi" w:cstheme="minorHAnsi"/>
        </w:rPr>
        <w:t>the executive summary will be a</w:t>
      </w:r>
      <w:r w:rsidR="0043349E" w:rsidRPr="0043349E">
        <w:rPr>
          <w:rFonts w:asciiTheme="minorHAnsi" w:hAnsiTheme="minorHAnsi" w:cstheme="minorHAnsi"/>
        </w:rPr>
        <w:t xml:space="preserve"> clear and concise description of the consortium’s vision, list accomplishments made during the prior Program Year, and list primary goals for the upcoming Program Year. Th</w:t>
      </w:r>
      <w:r w:rsidR="0043349E">
        <w:rPr>
          <w:rFonts w:asciiTheme="minorHAnsi" w:hAnsiTheme="minorHAnsi" w:cstheme="minorHAnsi"/>
        </w:rPr>
        <w:t>e</w:t>
      </w:r>
      <w:r w:rsidR="0043349E" w:rsidRPr="0043349E">
        <w:rPr>
          <w:rFonts w:asciiTheme="minorHAnsi" w:hAnsiTheme="minorHAnsi" w:cstheme="minorHAnsi"/>
        </w:rPr>
        <w:t xml:space="preserve"> executive summary will be used in the consortium snapshot for the California Legislature.</w:t>
      </w:r>
      <w:r w:rsidR="004C3512">
        <w:rPr>
          <w:rFonts w:asciiTheme="minorHAnsi" w:hAnsiTheme="minorHAnsi" w:cstheme="minorHAnsi"/>
        </w:rPr>
        <w:t xml:space="preserve"> This section is limited to 5,000 characters. </w:t>
      </w:r>
    </w:p>
    <w:p w14:paraId="5FAAEF4D" w14:textId="0A9CC241" w:rsidR="0043349E" w:rsidRDefault="0043349E" w:rsidP="0017430E">
      <w:pPr>
        <w:jc w:val="both"/>
        <w:rPr>
          <w:rFonts w:asciiTheme="minorHAnsi" w:hAnsiTheme="minorHAnsi" w:cstheme="minorHAnsi"/>
        </w:rPr>
      </w:pPr>
    </w:p>
    <w:p w14:paraId="34202731" w14:textId="40935FB1" w:rsidR="0043349E" w:rsidRPr="00265617" w:rsidRDefault="004C3512" w:rsidP="0017430E">
      <w:pPr>
        <w:jc w:val="both"/>
        <w:rPr>
          <w:rFonts w:asciiTheme="minorHAnsi" w:hAnsiTheme="minorHAnsi" w:cstheme="minorHAnsi"/>
        </w:rPr>
      </w:pPr>
      <w:r w:rsidRPr="00265617">
        <w:rPr>
          <w:rFonts w:asciiTheme="minorHAnsi" w:hAnsiTheme="minorHAnsi" w:cstheme="minorHAnsi"/>
        </w:rPr>
        <w:lastRenderedPageBreak/>
        <w:t xml:space="preserve">The regional planning overview is an extension of the executive summary in which consortia and members will provide further detail on the implementation of the 2022-25 </w:t>
      </w:r>
      <w:r w:rsidR="00265617" w:rsidRPr="00265617">
        <w:rPr>
          <w:rFonts w:asciiTheme="minorHAnsi" w:hAnsiTheme="minorHAnsi" w:cstheme="minorHAnsi"/>
        </w:rPr>
        <w:t>T</w:t>
      </w:r>
      <w:r w:rsidRPr="00265617">
        <w:rPr>
          <w:rFonts w:asciiTheme="minorHAnsi" w:hAnsiTheme="minorHAnsi" w:cstheme="minorHAnsi"/>
        </w:rPr>
        <w:t>hree-</w:t>
      </w:r>
      <w:r w:rsidR="00265617" w:rsidRPr="00265617">
        <w:rPr>
          <w:rFonts w:asciiTheme="minorHAnsi" w:hAnsiTheme="minorHAnsi" w:cstheme="minorHAnsi"/>
        </w:rPr>
        <w:t>Y</w:t>
      </w:r>
      <w:r w:rsidRPr="00265617">
        <w:rPr>
          <w:rFonts w:asciiTheme="minorHAnsi" w:hAnsiTheme="minorHAnsi" w:cstheme="minorHAnsi"/>
        </w:rPr>
        <w:t xml:space="preserve">ear </w:t>
      </w:r>
      <w:r w:rsidR="00265617" w:rsidRPr="00265617">
        <w:rPr>
          <w:rFonts w:asciiTheme="minorHAnsi" w:hAnsiTheme="minorHAnsi" w:cstheme="minorHAnsi"/>
        </w:rPr>
        <w:t>P</w:t>
      </w:r>
      <w:r w:rsidRPr="00265617">
        <w:rPr>
          <w:rFonts w:asciiTheme="minorHAnsi" w:hAnsiTheme="minorHAnsi" w:cstheme="minorHAnsi"/>
        </w:rPr>
        <w:t>lan. This section is limited to 5,000 characters.</w:t>
      </w:r>
    </w:p>
    <w:p w14:paraId="44F93F6F" w14:textId="29036F80" w:rsidR="004C3512" w:rsidRPr="00265617" w:rsidRDefault="004C3512" w:rsidP="0017430E">
      <w:pPr>
        <w:jc w:val="both"/>
        <w:rPr>
          <w:rFonts w:asciiTheme="minorHAnsi" w:hAnsiTheme="minorHAnsi" w:cstheme="minorHAnsi"/>
        </w:rPr>
      </w:pPr>
    </w:p>
    <w:p w14:paraId="52A102E7" w14:textId="77777777" w:rsidR="004C3512" w:rsidRPr="00265617" w:rsidRDefault="004C3512" w:rsidP="0017430E">
      <w:pPr>
        <w:widowControl w:val="0"/>
        <w:shd w:val="clear" w:color="auto" w:fill="FFFFFF"/>
        <w:spacing w:after="180"/>
        <w:jc w:val="both"/>
        <w:rPr>
          <w:rFonts w:asciiTheme="minorHAnsi" w:hAnsiTheme="minorHAnsi" w:cstheme="minorHAnsi"/>
          <w:strike/>
          <w:color w:val="000000" w:themeColor="text1"/>
        </w:rPr>
      </w:pPr>
      <w:r w:rsidRPr="00265617">
        <w:rPr>
          <w:rFonts w:asciiTheme="minorHAnsi" w:hAnsiTheme="minorHAnsi" w:cstheme="minorHAnsi"/>
        </w:rPr>
        <w:t xml:space="preserve">In the meeting regional needs section, the </w:t>
      </w:r>
      <w:r w:rsidRPr="00265617">
        <w:rPr>
          <w:rFonts w:asciiTheme="minorHAnsi" w:hAnsiTheme="minorHAnsi" w:cstheme="minorHAnsi"/>
          <w:color w:val="000000" w:themeColor="text1"/>
        </w:rPr>
        <w:t xml:space="preserve">consortium will identify and describe the reasons for the gap(s) between the need in the region and the types and levels of adult education services currently being offered. </w:t>
      </w:r>
    </w:p>
    <w:p w14:paraId="05F930DD" w14:textId="77777777" w:rsidR="004C3512" w:rsidRPr="00265617" w:rsidRDefault="004C3512" w:rsidP="004C3512">
      <w:pPr>
        <w:widowControl w:val="0"/>
        <w:shd w:val="clear" w:color="auto" w:fill="FFFFFF"/>
        <w:spacing w:after="180"/>
        <w:rPr>
          <w:rFonts w:asciiTheme="minorHAnsi" w:hAnsiTheme="minorHAnsi" w:cstheme="minorHAnsi"/>
          <w:strike/>
          <w:color w:val="000000" w:themeColor="text1"/>
        </w:rPr>
      </w:pPr>
      <w:r w:rsidRPr="00265617">
        <w:rPr>
          <w:rFonts w:asciiTheme="minorHAnsi" w:hAnsiTheme="minorHAnsi" w:cstheme="minorHAnsi"/>
          <w:color w:val="000000" w:themeColor="text1"/>
        </w:rPr>
        <w:t>Identify and describe the following:</w:t>
      </w:r>
    </w:p>
    <w:p w14:paraId="43D432B3" w14:textId="77777777" w:rsidR="004C3512" w:rsidRPr="00265617" w:rsidRDefault="004C3512" w:rsidP="004C3512">
      <w:pPr>
        <w:widowControl w:val="0"/>
        <w:numPr>
          <w:ilvl w:val="0"/>
          <w:numId w:val="3"/>
        </w:numPr>
        <w:shd w:val="clear" w:color="auto" w:fill="FFFFFF"/>
        <w:rPr>
          <w:rFonts w:asciiTheme="minorHAnsi" w:hAnsiTheme="minorHAnsi" w:cstheme="minorHAnsi"/>
          <w:color w:val="000000" w:themeColor="text1"/>
        </w:rPr>
      </w:pPr>
      <w:r w:rsidRPr="00265617">
        <w:rPr>
          <w:rFonts w:asciiTheme="minorHAnsi" w:hAnsiTheme="minorHAnsi" w:cstheme="minorHAnsi"/>
          <w:color w:val="000000" w:themeColor="text1"/>
        </w:rPr>
        <w:t>Gaps in service/regional need</w:t>
      </w:r>
    </w:p>
    <w:p w14:paraId="3EA9E182" w14:textId="77777777" w:rsidR="004C3512" w:rsidRPr="00265617" w:rsidRDefault="004C3512" w:rsidP="004C3512">
      <w:pPr>
        <w:widowControl w:val="0"/>
        <w:numPr>
          <w:ilvl w:val="0"/>
          <w:numId w:val="3"/>
        </w:numPr>
        <w:shd w:val="clear" w:color="auto" w:fill="FFFFFF"/>
        <w:rPr>
          <w:rFonts w:asciiTheme="minorHAnsi" w:hAnsiTheme="minorHAnsi" w:cstheme="minorHAnsi"/>
          <w:color w:val="000000" w:themeColor="text1"/>
        </w:rPr>
      </w:pPr>
      <w:r w:rsidRPr="00265617">
        <w:rPr>
          <w:rFonts w:asciiTheme="minorHAnsi" w:hAnsiTheme="minorHAnsi" w:cstheme="minorHAnsi"/>
          <w:color w:val="000000" w:themeColor="text1"/>
        </w:rPr>
        <w:t>How did you know? What resources did you use to identify these gaps?</w:t>
      </w:r>
    </w:p>
    <w:p w14:paraId="163D01F5" w14:textId="61DCB946" w:rsidR="004C3512" w:rsidRPr="00265617" w:rsidRDefault="004C3512" w:rsidP="004C3512">
      <w:pPr>
        <w:widowControl w:val="0"/>
        <w:numPr>
          <w:ilvl w:val="0"/>
          <w:numId w:val="3"/>
        </w:numPr>
        <w:shd w:val="clear" w:color="auto" w:fill="FFFFFF"/>
        <w:rPr>
          <w:color w:val="000000" w:themeColor="text1"/>
        </w:rPr>
      </w:pPr>
      <w:r w:rsidRPr="00265617">
        <w:rPr>
          <w:rFonts w:asciiTheme="minorHAnsi" w:hAnsiTheme="minorHAnsi" w:cstheme="minorHAnsi"/>
          <w:color w:val="000000" w:themeColor="text1"/>
        </w:rPr>
        <w:t>How will you measure effectiveness/progress toward meeting this need? Please be sure to identify any local indicators planned for measuring student progress.</w:t>
      </w:r>
    </w:p>
    <w:p w14:paraId="6BBCAA2A" w14:textId="77777777" w:rsidR="00965D9C" w:rsidRPr="00265617" w:rsidRDefault="00965D9C" w:rsidP="00965D9C">
      <w:pPr>
        <w:widowControl w:val="0"/>
        <w:shd w:val="clear" w:color="auto" w:fill="FFFFFF"/>
        <w:ind w:left="720"/>
        <w:rPr>
          <w:color w:val="000000" w:themeColor="text1"/>
        </w:rPr>
      </w:pPr>
    </w:p>
    <w:p w14:paraId="03D943BE" w14:textId="416FAEEC" w:rsidR="004C3512" w:rsidRPr="00265617" w:rsidRDefault="00DB6C6B" w:rsidP="00850C2C">
      <w:pPr>
        <w:rPr>
          <w:rFonts w:asciiTheme="minorHAnsi" w:hAnsiTheme="minorHAnsi" w:cstheme="minorHAnsi"/>
        </w:rPr>
      </w:pPr>
      <w:r w:rsidRPr="00265617">
        <w:rPr>
          <w:rFonts w:asciiTheme="minorHAnsi" w:hAnsiTheme="minorHAnsi" w:cstheme="minorHAnsi"/>
        </w:rPr>
        <w:t xml:space="preserve">Each of the </w:t>
      </w:r>
      <w:r w:rsidR="0048310A" w:rsidRPr="00265617">
        <w:rPr>
          <w:rFonts w:asciiTheme="minorHAnsi" w:hAnsiTheme="minorHAnsi" w:cstheme="minorHAnsi"/>
        </w:rPr>
        <w:t>‘M</w:t>
      </w:r>
      <w:r w:rsidRPr="00265617">
        <w:rPr>
          <w:rFonts w:asciiTheme="minorHAnsi" w:hAnsiTheme="minorHAnsi" w:cstheme="minorHAnsi"/>
        </w:rPr>
        <w:t xml:space="preserve">eeting </w:t>
      </w:r>
      <w:r w:rsidR="0048310A" w:rsidRPr="00265617">
        <w:rPr>
          <w:rFonts w:asciiTheme="minorHAnsi" w:hAnsiTheme="minorHAnsi" w:cstheme="minorHAnsi"/>
        </w:rPr>
        <w:t>R</w:t>
      </w:r>
      <w:r w:rsidRPr="00265617">
        <w:rPr>
          <w:rFonts w:asciiTheme="minorHAnsi" w:hAnsiTheme="minorHAnsi" w:cstheme="minorHAnsi"/>
        </w:rPr>
        <w:t xml:space="preserve">egional </w:t>
      </w:r>
      <w:r w:rsidR="0048310A" w:rsidRPr="00265617">
        <w:rPr>
          <w:rFonts w:asciiTheme="minorHAnsi" w:hAnsiTheme="minorHAnsi" w:cstheme="minorHAnsi"/>
        </w:rPr>
        <w:t>N</w:t>
      </w:r>
      <w:r w:rsidRPr="00265617">
        <w:rPr>
          <w:rFonts w:asciiTheme="minorHAnsi" w:hAnsiTheme="minorHAnsi" w:cstheme="minorHAnsi"/>
        </w:rPr>
        <w:t>eeds</w:t>
      </w:r>
      <w:r w:rsidR="0048310A" w:rsidRPr="00265617">
        <w:rPr>
          <w:rFonts w:asciiTheme="minorHAnsi" w:hAnsiTheme="minorHAnsi" w:cstheme="minorHAnsi"/>
        </w:rPr>
        <w:t>’</w:t>
      </w:r>
      <w:r w:rsidRPr="00265617">
        <w:rPr>
          <w:rFonts w:asciiTheme="minorHAnsi" w:hAnsiTheme="minorHAnsi" w:cstheme="minorHAnsi"/>
        </w:rPr>
        <w:t xml:space="preserve"> subsections are limited to 5,000 characters. </w:t>
      </w:r>
    </w:p>
    <w:p w14:paraId="00A7AA81" w14:textId="5A6328C4" w:rsidR="00965D9C" w:rsidRPr="00265617" w:rsidRDefault="00965D9C" w:rsidP="00850C2C">
      <w:pPr>
        <w:rPr>
          <w:rFonts w:asciiTheme="minorHAnsi" w:hAnsiTheme="minorHAnsi" w:cstheme="minorHAnsi"/>
        </w:rPr>
      </w:pPr>
    </w:p>
    <w:p w14:paraId="291FDB58" w14:textId="561F55B9" w:rsidR="00DF1F3D" w:rsidRPr="00265617" w:rsidRDefault="00DF1F3D" w:rsidP="00DF1F3D">
      <w:pPr>
        <w:pStyle w:val="Heading2"/>
        <w:rPr>
          <w:b/>
          <w:bCs/>
        </w:rPr>
      </w:pPr>
      <w:r w:rsidRPr="00265617">
        <w:rPr>
          <w:b/>
          <w:bCs/>
        </w:rPr>
        <w:t>Section 2: Address Educational Needs</w:t>
      </w:r>
    </w:p>
    <w:p w14:paraId="0B286E6E" w14:textId="1C43B972" w:rsidR="00DF1F3D" w:rsidRPr="00265617" w:rsidRDefault="00DF1F3D" w:rsidP="00850C2C">
      <w:pPr>
        <w:rPr>
          <w:rFonts w:asciiTheme="minorHAnsi" w:hAnsiTheme="minorHAnsi" w:cstheme="minorHAnsi"/>
        </w:rPr>
      </w:pPr>
    </w:p>
    <w:p w14:paraId="6D2E1052" w14:textId="374966A0" w:rsidR="00DF1F3D" w:rsidRPr="00265617" w:rsidRDefault="001B317B" w:rsidP="000B19B6">
      <w:pPr>
        <w:jc w:val="both"/>
        <w:rPr>
          <w:rFonts w:asciiTheme="minorHAnsi" w:hAnsiTheme="minorHAnsi" w:cstheme="minorHAnsi"/>
        </w:rPr>
      </w:pPr>
      <w:r w:rsidRPr="00265617">
        <w:rPr>
          <w:rFonts w:asciiTheme="minorHAnsi" w:hAnsiTheme="minorHAnsi" w:cstheme="minorHAnsi"/>
        </w:rPr>
        <w:t>In this section, the consortium will identify the strategies/activities and metrics to address the educational needs in accordance with education code §84906.</w:t>
      </w:r>
      <w:r w:rsidR="006A400C" w:rsidRPr="00265617">
        <w:rPr>
          <w:rFonts w:asciiTheme="minorHAnsi" w:hAnsiTheme="minorHAnsi" w:cstheme="minorHAnsi"/>
        </w:rPr>
        <w:t xml:space="preserve"> The </w:t>
      </w:r>
      <w:r w:rsidR="00863DF0" w:rsidRPr="00265617">
        <w:rPr>
          <w:rFonts w:asciiTheme="minorHAnsi" w:hAnsiTheme="minorHAnsi" w:cstheme="minorHAnsi"/>
        </w:rPr>
        <w:t xml:space="preserve">consortium </w:t>
      </w:r>
      <w:r w:rsidR="006A400C" w:rsidRPr="00265617">
        <w:rPr>
          <w:rFonts w:asciiTheme="minorHAnsi" w:hAnsiTheme="minorHAnsi" w:cstheme="minorHAnsi"/>
        </w:rPr>
        <w:t>will describe how the strategy will achieve the objective, and the educational needs, barriers and gaps in current education and workforce services.</w:t>
      </w:r>
      <w:r w:rsidRPr="00265617">
        <w:rPr>
          <w:rFonts w:asciiTheme="minorHAnsi" w:hAnsiTheme="minorHAnsi" w:cstheme="minorHAnsi"/>
        </w:rPr>
        <w:t xml:space="preserve"> </w:t>
      </w:r>
      <w:r w:rsidR="00F25FA9" w:rsidRPr="00265617">
        <w:rPr>
          <w:rFonts w:asciiTheme="minorHAnsi" w:hAnsiTheme="minorHAnsi" w:cstheme="minorHAnsi"/>
        </w:rPr>
        <w:t>The activities identified in this secti</w:t>
      </w:r>
      <w:r w:rsidR="00B14091" w:rsidRPr="00265617">
        <w:rPr>
          <w:rFonts w:asciiTheme="minorHAnsi" w:hAnsiTheme="minorHAnsi" w:cstheme="minorHAnsi"/>
        </w:rPr>
        <w:t>on were integrated from the consortium</w:t>
      </w:r>
      <w:r w:rsidR="001951CE" w:rsidRPr="00265617">
        <w:rPr>
          <w:rFonts w:asciiTheme="minorHAnsi" w:hAnsiTheme="minorHAnsi" w:cstheme="minorHAnsi"/>
        </w:rPr>
        <w:t xml:space="preserve">’s CAEP 2022-25 </w:t>
      </w:r>
      <w:r w:rsidR="00265617" w:rsidRPr="00265617">
        <w:rPr>
          <w:rFonts w:asciiTheme="minorHAnsi" w:hAnsiTheme="minorHAnsi" w:cstheme="minorHAnsi"/>
        </w:rPr>
        <w:t>T</w:t>
      </w:r>
      <w:r w:rsidR="001951CE" w:rsidRPr="00265617">
        <w:rPr>
          <w:rFonts w:asciiTheme="minorHAnsi" w:hAnsiTheme="minorHAnsi" w:cstheme="minorHAnsi"/>
        </w:rPr>
        <w:t>hree-</w:t>
      </w:r>
      <w:r w:rsidR="00265617" w:rsidRPr="00265617">
        <w:rPr>
          <w:rFonts w:asciiTheme="minorHAnsi" w:hAnsiTheme="minorHAnsi" w:cstheme="minorHAnsi"/>
        </w:rPr>
        <w:t>Y</w:t>
      </w:r>
      <w:r w:rsidR="001951CE" w:rsidRPr="00265617">
        <w:rPr>
          <w:rFonts w:asciiTheme="minorHAnsi" w:hAnsiTheme="minorHAnsi" w:cstheme="minorHAnsi"/>
        </w:rPr>
        <w:t xml:space="preserve">ear </w:t>
      </w:r>
      <w:r w:rsidR="00265617" w:rsidRPr="00265617">
        <w:rPr>
          <w:rFonts w:asciiTheme="minorHAnsi" w:hAnsiTheme="minorHAnsi" w:cstheme="minorHAnsi"/>
        </w:rPr>
        <w:t>P</w:t>
      </w:r>
      <w:r w:rsidR="001951CE" w:rsidRPr="00265617">
        <w:rPr>
          <w:rFonts w:asciiTheme="minorHAnsi" w:hAnsiTheme="minorHAnsi" w:cstheme="minorHAnsi"/>
        </w:rPr>
        <w:t>lan</w:t>
      </w:r>
      <w:r w:rsidR="006A400C" w:rsidRPr="00265617">
        <w:rPr>
          <w:rFonts w:asciiTheme="minorHAnsi" w:hAnsiTheme="minorHAnsi" w:cstheme="minorHAnsi"/>
        </w:rPr>
        <w:t xml:space="preserve"> and can be found by accessing the drop-down menu</w:t>
      </w:r>
      <w:r w:rsidR="001951CE" w:rsidRPr="00265617">
        <w:rPr>
          <w:rFonts w:asciiTheme="minorHAnsi" w:hAnsiTheme="minorHAnsi" w:cstheme="minorHAnsi"/>
        </w:rPr>
        <w:t xml:space="preserve">. Additionally, the metrics that apply to the activity/strategy were integrated from the consortium’s </w:t>
      </w:r>
      <w:r w:rsidR="00265617" w:rsidRPr="00265617">
        <w:rPr>
          <w:rFonts w:asciiTheme="minorHAnsi" w:hAnsiTheme="minorHAnsi" w:cstheme="minorHAnsi"/>
        </w:rPr>
        <w:t>T</w:t>
      </w:r>
      <w:r w:rsidR="001951CE" w:rsidRPr="00265617">
        <w:rPr>
          <w:rFonts w:asciiTheme="minorHAnsi" w:hAnsiTheme="minorHAnsi" w:cstheme="minorHAnsi"/>
        </w:rPr>
        <w:t>hree-</w:t>
      </w:r>
      <w:r w:rsidR="00265617" w:rsidRPr="00265617">
        <w:rPr>
          <w:rFonts w:asciiTheme="minorHAnsi" w:hAnsiTheme="minorHAnsi" w:cstheme="minorHAnsi"/>
        </w:rPr>
        <w:t>Y</w:t>
      </w:r>
      <w:r w:rsidR="001951CE" w:rsidRPr="00265617">
        <w:rPr>
          <w:rFonts w:asciiTheme="minorHAnsi" w:hAnsiTheme="minorHAnsi" w:cstheme="minorHAnsi"/>
        </w:rPr>
        <w:t xml:space="preserve">ear </w:t>
      </w:r>
      <w:r w:rsidR="00265617" w:rsidRPr="00265617">
        <w:rPr>
          <w:rFonts w:asciiTheme="minorHAnsi" w:hAnsiTheme="minorHAnsi" w:cstheme="minorHAnsi"/>
        </w:rPr>
        <w:t>P</w:t>
      </w:r>
      <w:r w:rsidR="001951CE" w:rsidRPr="00265617">
        <w:rPr>
          <w:rFonts w:asciiTheme="minorHAnsi" w:hAnsiTheme="minorHAnsi" w:cstheme="minorHAnsi"/>
        </w:rPr>
        <w:t>lan</w:t>
      </w:r>
      <w:r w:rsidR="006A400C" w:rsidRPr="00265617">
        <w:rPr>
          <w:rFonts w:asciiTheme="minorHAnsi" w:hAnsiTheme="minorHAnsi" w:cstheme="minorHAnsi"/>
        </w:rPr>
        <w:t xml:space="preserve"> and can be found by accessing the drop-down menu. </w:t>
      </w:r>
      <w:r w:rsidR="00F374AF" w:rsidRPr="00265617">
        <w:rPr>
          <w:rFonts w:asciiTheme="minorHAnsi" w:hAnsiTheme="minorHAnsi" w:cstheme="minorHAnsi"/>
        </w:rPr>
        <w:t>The ‘Strategy Description</w:t>
      </w:r>
      <w:r w:rsidR="00DE5D11" w:rsidRPr="00265617">
        <w:rPr>
          <w:rFonts w:asciiTheme="minorHAnsi" w:hAnsiTheme="minorHAnsi" w:cstheme="minorHAnsi"/>
        </w:rPr>
        <w:t xml:space="preserve"> to Address Educational Needs</w:t>
      </w:r>
      <w:r w:rsidR="00F374AF" w:rsidRPr="00265617">
        <w:rPr>
          <w:rFonts w:asciiTheme="minorHAnsi" w:hAnsiTheme="minorHAnsi" w:cstheme="minorHAnsi"/>
        </w:rPr>
        <w:t>’ section is limited to 5,000 characters.</w:t>
      </w:r>
    </w:p>
    <w:p w14:paraId="396CC7E5" w14:textId="77777777" w:rsidR="00DF1F3D" w:rsidRPr="00265617" w:rsidRDefault="00DF1F3D" w:rsidP="00850C2C">
      <w:pPr>
        <w:rPr>
          <w:rFonts w:asciiTheme="minorHAnsi" w:hAnsiTheme="minorHAnsi" w:cstheme="minorHAnsi"/>
        </w:rPr>
      </w:pPr>
    </w:p>
    <w:p w14:paraId="0B176620" w14:textId="0ABA8E7E" w:rsidR="000B19B6" w:rsidRPr="00265617" w:rsidRDefault="000B19B6" w:rsidP="00A92AE6">
      <w:pPr>
        <w:pStyle w:val="Heading2"/>
        <w:rPr>
          <w:b/>
          <w:bCs/>
        </w:rPr>
      </w:pPr>
      <w:r w:rsidRPr="00265617">
        <w:rPr>
          <w:b/>
          <w:bCs/>
        </w:rPr>
        <w:t>Section 3: Improve Integration of Services and Transitions</w:t>
      </w:r>
    </w:p>
    <w:p w14:paraId="31F92901" w14:textId="3EA6CBCD" w:rsidR="000B19B6" w:rsidRPr="00265617" w:rsidRDefault="000B19B6" w:rsidP="000B19B6"/>
    <w:p w14:paraId="1FE55968" w14:textId="34C946C3" w:rsidR="000B19B6" w:rsidRDefault="00372621" w:rsidP="000B19B6">
      <w:pPr>
        <w:jc w:val="both"/>
        <w:rPr>
          <w:rFonts w:asciiTheme="minorHAnsi" w:hAnsiTheme="minorHAnsi" w:cstheme="minorHAnsi"/>
        </w:rPr>
      </w:pPr>
      <w:r w:rsidRPr="00265617">
        <w:rPr>
          <w:rFonts w:asciiTheme="minorHAnsi" w:hAnsiTheme="minorHAnsi" w:cstheme="minorHAnsi"/>
        </w:rPr>
        <w:t>T</w:t>
      </w:r>
      <w:r w:rsidR="000B19B6" w:rsidRPr="00265617">
        <w:rPr>
          <w:rFonts w:asciiTheme="minorHAnsi" w:hAnsiTheme="minorHAnsi" w:cstheme="minorHAnsi"/>
        </w:rPr>
        <w:t>he consortium will identify the strategies/activities and metrics to address improving the integration of services and transitions in accordance with education code §84906</w:t>
      </w:r>
      <w:r w:rsidRPr="00265617">
        <w:rPr>
          <w:rFonts w:asciiTheme="minorHAnsi" w:hAnsiTheme="minorHAnsi" w:cstheme="minorHAnsi"/>
        </w:rPr>
        <w:t xml:space="preserve"> in this section</w:t>
      </w:r>
      <w:r w:rsidR="000B19B6" w:rsidRPr="00265617">
        <w:rPr>
          <w:rFonts w:asciiTheme="minorHAnsi" w:hAnsiTheme="minorHAnsi" w:cstheme="minorHAnsi"/>
        </w:rPr>
        <w:t>.</w:t>
      </w:r>
      <w:r w:rsidR="001B6C97" w:rsidRPr="00265617">
        <w:rPr>
          <w:rFonts w:asciiTheme="minorHAnsi" w:hAnsiTheme="minorHAnsi" w:cstheme="minorHAnsi"/>
        </w:rPr>
        <w:t xml:space="preserve"> The consortium will describe how the strategy will achieve the objective, and the educational needs, barriers and gaps in current education and workforce services. The activities identified in this section were integrated from the consortium’s CAEP 2022-25 </w:t>
      </w:r>
      <w:r w:rsidR="00265617" w:rsidRPr="00265617">
        <w:rPr>
          <w:rFonts w:asciiTheme="minorHAnsi" w:hAnsiTheme="minorHAnsi" w:cstheme="minorHAnsi"/>
        </w:rPr>
        <w:t>T</w:t>
      </w:r>
      <w:r w:rsidR="001B6C97" w:rsidRPr="00265617">
        <w:rPr>
          <w:rFonts w:asciiTheme="minorHAnsi" w:hAnsiTheme="minorHAnsi" w:cstheme="minorHAnsi"/>
        </w:rPr>
        <w:t>hree-</w:t>
      </w:r>
      <w:r w:rsidR="00265617" w:rsidRPr="00265617">
        <w:rPr>
          <w:rFonts w:asciiTheme="minorHAnsi" w:hAnsiTheme="minorHAnsi" w:cstheme="minorHAnsi"/>
        </w:rPr>
        <w:t>Y</w:t>
      </w:r>
      <w:r w:rsidR="001B6C97" w:rsidRPr="00265617">
        <w:rPr>
          <w:rFonts w:asciiTheme="minorHAnsi" w:hAnsiTheme="minorHAnsi" w:cstheme="minorHAnsi"/>
        </w:rPr>
        <w:t xml:space="preserve">ear </w:t>
      </w:r>
      <w:r w:rsidR="00265617" w:rsidRPr="00265617">
        <w:rPr>
          <w:rFonts w:asciiTheme="minorHAnsi" w:hAnsiTheme="minorHAnsi" w:cstheme="minorHAnsi"/>
        </w:rPr>
        <w:t>P</w:t>
      </w:r>
      <w:r w:rsidR="001B6C97" w:rsidRPr="00265617">
        <w:rPr>
          <w:rFonts w:asciiTheme="minorHAnsi" w:hAnsiTheme="minorHAnsi" w:cstheme="minorHAnsi"/>
        </w:rPr>
        <w:t xml:space="preserve">lan and can be found by accessing the drop-down menu. Additionally, the metrics that apply to the activity/strategy were integrated from the consortium’s </w:t>
      </w:r>
      <w:r w:rsidR="00265617" w:rsidRPr="00265617">
        <w:rPr>
          <w:rFonts w:asciiTheme="minorHAnsi" w:hAnsiTheme="minorHAnsi" w:cstheme="minorHAnsi"/>
        </w:rPr>
        <w:t>T</w:t>
      </w:r>
      <w:r w:rsidR="001B6C97" w:rsidRPr="00265617">
        <w:rPr>
          <w:rFonts w:asciiTheme="minorHAnsi" w:hAnsiTheme="minorHAnsi" w:cstheme="minorHAnsi"/>
        </w:rPr>
        <w:t>hree-</w:t>
      </w:r>
      <w:r w:rsidR="00265617" w:rsidRPr="00265617">
        <w:rPr>
          <w:rFonts w:asciiTheme="minorHAnsi" w:hAnsiTheme="minorHAnsi" w:cstheme="minorHAnsi"/>
        </w:rPr>
        <w:t>Y</w:t>
      </w:r>
      <w:r w:rsidR="001B6C97" w:rsidRPr="00265617">
        <w:rPr>
          <w:rFonts w:asciiTheme="minorHAnsi" w:hAnsiTheme="minorHAnsi" w:cstheme="minorHAnsi"/>
        </w:rPr>
        <w:t xml:space="preserve">ear </w:t>
      </w:r>
      <w:r w:rsidR="00265617" w:rsidRPr="00265617">
        <w:rPr>
          <w:rFonts w:asciiTheme="minorHAnsi" w:hAnsiTheme="minorHAnsi" w:cstheme="minorHAnsi"/>
        </w:rPr>
        <w:t>P</w:t>
      </w:r>
      <w:r w:rsidR="001B6C97" w:rsidRPr="00265617">
        <w:rPr>
          <w:rFonts w:asciiTheme="minorHAnsi" w:hAnsiTheme="minorHAnsi" w:cstheme="minorHAnsi"/>
        </w:rPr>
        <w:t>lan and can be found by accessing the drop-down menu.</w:t>
      </w:r>
      <w:r w:rsidR="00F374AF" w:rsidRPr="00265617">
        <w:rPr>
          <w:rFonts w:asciiTheme="minorHAnsi" w:hAnsiTheme="minorHAnsi" w:cstheme="minorHAnsi"/>
        </w:rPr>
        <w:t xml:space="preserve"> The ‘Strategy Description</w:t>
      </w:r>
      <w:r w:rsidR="00DE5D11" w:rsidRPr="00265617">
        <w:rPr>
          <w:rFonts w:asciiTheme="minorHAnsi" w:hAnsiTheme="minorHAnsi" w:cstheme="minorHAnsi"/>
        </w:rPr>
        <w:t xml:space="preserve"> to Improve Integration of Services and Transitions</w:t>
      </w:r>
      <w:r w:rsidR="00F374AF" w:rsidRPr="00265617">
        <w:rPr>
          <w:rFonts w:asciiTheme="minorHAnsi" w:hAnsiTheme="minorHAnsi" w:cstheme="minorHAnsi"/>
        </w:rPr>
        <w:t>’ section is limited to 5,000 characters.</w:t>
      </w:r>
    </w:p>
    <w:p w14:paraId="4052D2C9" w14:textId="446D3838" w:rsidR="00DE5D11" w:rsidRDefault="00DE5D11" w:rsidP="000B19B6">
      <w:pPr>
        <w:jc w:val="both"/>
        <w:rPr>
          <w:rFonts w:asciiTheme="minorHAnsi" w:hAnsiTheme="minorHAnsi" w:cstheme="minorHAnsi"/>
        </w:rPr>
      </w:pPr>
    </w:p>
    <w:p w14:paraId="2D1295F6" w14:textId="3D0FBB22" w:rsidR="00DE5D11" w:rsidRDefault="00DE5D11" w:rsidP="000B19B6">
      <w:pPr>
        <w:jc w:val="both"/>
        <w:rPr>
          <w:rFonts w:asciiTheme="minorHAnsi" w:hAnsiTheme="minorHAnsi" w:cstheme="minorHAnsi"/>
        </w:rPr>
      </w:pPr>
    </w:p>
    <w:p w14:paraId="1F8AED1B" w14:textId="77777777" w:rsidR="00DE5D11" w:rsidRPr="000B19B6" w:rsidRDefault="00DE5D11" w:rsidP="000B19B6">
      <w:pPr>
        <w:jc w:val="both"/>
        <w:rPr>
          <w:rFonts w:asciiTheme="minorHAnsi" w:hAnsiTheme="minorHAnsi" w:cstheme="minorHAnsi"/>
        </w:rPr>
      </w:pPr>
    </w:p>
    <w:p w14:paraId="1DC51DB3" w14:textId="77777777" w:rsidR="000B19B6" w:rsidRPr="000B19B6" w:rsidRDefault="000B19B6" w:rsidP="000B19B6"/>
    <w:p w14:paraId="6EA563BA" w14:textId="3E57821A" w:rsidR="000B19B6" w:rsidRDefault="000B19B6" w:rsidP="000B19B6">
      <w:pPr>
        <w:pStyle w:val="Heading2"/>
        <w:rPr>
          <w:b/>
          <w:bCs/>
        </w:rPr>
      </w:pPr>
      <w:r>
        <w:rPr>
          <w:b/>
          <w:bCs/>
        </w:rPr>
        <w:lastRenderedPageBreak/>
        <w:t xml:space="preserve">Section 4: Improve </w:t>
      </w:r>
      <w:r w:rsidR="00C53499">
        <w:rPr>
          <w:b/>
          <w:bCs/>
        </w:rPr>
        <w:t>Effectiveness of Services</w:t>
      </w:r>
    </w:p>
    <w:p w14:paraId="59EFD606" w14:textId="77777777" w:rsidR="000B19B6" w:rsidRDefault="000B19B6" w:rsidP="000B19B6"/>
    <w:p w14:paraId="32E543D8" w14:textId="774DA5A9" w:rsidR="000B19B6" w:rsidRPr="00265617" w:rsidRDefault="000B19B6" w:rsidP="00C53499">
      <w:pPr>
        <w:pStyle w:val="Heading2"/>
        <w:jc w:val="both"/>
        <w:rPr>
          <w:rFonts w:asciiTheme="minorHAnsi" w:eastAsia="Times New Roman" w:hAnsiTheme="minorHAnsi" w:cstheme="minorHAnsi"/>
          <w:color w:val="auto"/>
          <w:sz w:val="24"/>
          <w:szCs w:val="24"/>
        </w:rPr>
      </w:pPr>
      <w:r w:rsidRPr="00265617">
        <w:rPr>
          <w:rFonts w:asciiTheme="minorHAnsi" w:eastAsia="Times New Roman" w:hAnsiTheme="minorHAnsi" w:cstheme="minorHAnsi"/>
          <w:color w:val="auto"/>
          <w:sz w:val="24"/>
          <w:szCs w:val="24"/>
        </w:rPr>
        <w:t>In this section, the consortium will identify the strategies/activities and metrics to address improving the integration of services and transitions in accordance with education code §84906.</w:t>
      </w:r>
      <w:r w:rsidR="001B6C97" w:rsidRPr="00265617">
        <w:rPr>
          <w:rFonts w:asciiTheme="minorHAnsi" w:eastAsia="Times New Roman" w:hAnsiTheme="minorHAnsi" w:cstheme="minorHAnsi"/>
          <w:color w:val="auto"/>
          <w:sz w:val="24"/>
          <w:szCs w:val="24"/>
        </w:rPr>
        <w:t xml:space="preserve"> The consortium will describe how the strategy will achieve the objective, and the educational needs, barriers and gaps in current education and workforce services. The activities identified in this section were integrated from the consortium’s CAEP 2022-25 </w:t>
      </w:r>
      <w:r w:rsidR="00265617" w:rsidRPr="00265617">
        <w:rPr>
          <w:rFonts w:asciiTheme="minorHAnsi" w:eastAsia="Times New Roman" w:hAnsiTheme="minorHAnsi" w:cstheme="minorHAnsi"/>
          <w:color w:val="auto"/>
          <w:sz w:val="24"/>
          <w:szCs w:val="24"/>
        </w:rPr>
        <w:t>T</w:t>
      </w:r>
      <w:r w:rsidR="001B6C97" w:rsidRPr="00265617">
        <w:rPr>
          <w:rFonts w:asciiTheme="minorHAnsi" w:eastAsia="Times New Roman" w:hAnsiTheme="minorHAnsi" w:cstheme="minorHAnsi"/>
          <w:color w:val="auto"/>
          <w:sz w:val="24"/>
          <w:szCs w:val="24"/>
        </w:rPr>
        <w:t>hree-</w:t>
      </w:r>
      <w:r w:rsidR="00265617" w:rsidRPr="00265617">
        <w:rPr>
          <w:rFonts w:asciiTheme="minorHAnsi" w:eastAsia="Times New Roman" w:hAnsiTheme="minorHAnsi" w:cstheme="minorHAnsi"/>
          <w:color w:val="auto"/>
          <w:sz w:val="24"/>
          <w:szCs w:val="24"/>
        </w:rPr>
        <w:t>Y</w:t>
      </w:r>
      <w:r w:rsidR="001B6C97" w:rsidRPr="00265617">
        <w:rPr>
          <w:rFonts w:asciiTheme="minorHAnsi" w:eastAsia="Times New Roman" w:hAnsiTheme="minorHAnsi" w:cstheme="minorHAnsi"/>
          <w:color w:val="auto"/>
          <w:sz w:val="24"/>
          <w:szCs w:val="24"/>
        </w:rPr>
        <w:t xml:space="preserve">ear </w:t>
      </w:r>
      <w:r w:rsidR="00265617" w:rsidRPr="00265617">
        <w:rPr>
          <w:rFonts w:asciiTheme="minorHAnsi" w:eastAsia="Times New Roman" w:hAnsiTheme="minorHAnsi" w:cstheme="minorHAnsi"/>
          <w:color w:val="auto"/>
          <w:sz w:val="24"/>
          <w:szCs w:val="24"/>
        </w:rPr>
        <w:t>P</w:t>
      </w:r>
      <w:r w:rsidR="001B6C97" w:rsidRPr="00265617">
        <w:rPr>
          <w:rFonts w:asciiTheme="minorHAnsi" w:eastAsia="Times New Roman" w:hAnsiTheme="minorHAnsi" w:cstheme="minorHAnsi"/>
          <w:color w:val="auto"/>
          <w:sz w:val="24"/>
          <w:szCs w:val="24"/>
        </w:rPr>
        <w:t xml:space="preserve">lan and can be found by accessing the drop-down menu. Additionally, the metrics that apply to the activity/strategy were integrated from the consortium’s </w:t>
      </w:r>
      <w:r w:rsidR="00265617" w:rsidRPr="00265617">
        <w:rPr>
          <w:rFonts w:asciiTheme="minorHAnsi" w:eastAsia="Times New Roman" w:hAnsiTheme="minorHAnsi" w:cstheme="minorHAnsi"/>
          <w:color w:val="auto"/>
          <w:sz w:val="24"/>
          <w:szCs w:val="24"/>
        </w:rPr>
        <w:t>T</w:t>
      </w:r>
      <w:r w:rsidR="001B6C97" w:rsidRPr="00265617">
        <w:rPr>
          <w:rFonts w:asciiTheme="minorHAnsi" w:eastAsia="Times New Roman" w:hAnsiTheme="minorHAnsi" w:cstheme="minorHAnsi"/>
          <w:color w:val="auto"/>
          <w:sz w:val="24"/>
          <w:szCs w:val="24"/>
        </w:rPr>
        <w:t>hree-</w:t>
      </w:r>
      <w:r w:rsidR="00265617" w:rsidRPr="00265617">
        <w:rPr>
          <w:rFonts w:asciiTheme="minorHAnsi" w:eastAsia="Times New Roman" w:hAnsiTheme="minorHAnsi" w:cstheme="minorHAnsi"/>
          <w:color w:val="auto"/>
          <w:sz w:val="24"/>
          <w:szCs w:val="24"/>
        </w:rPr>
        <w:t>Y</w:t>
      </w:r>
      <w:r w:rsidR="001B6C97" w:rsidRPr="00265617">
        <w:rPr>
          <w:rFonts w:asciiTheme="minorHAnsi" w:eastAsia="Times New Roman" w:hAnsiTheme="minorHAnsi" w:cstheme="minorHAnsi"/>
          <w:color w:val="auto"/>
          <w:sz w:val="24"/>
          <w:szCs w:val="24"/>
        </w:rPr>
        <w:t xml:space="preserve">ear </w:t>
      </w:r>
      <w:r w:rsidR="00265617" w:rsidRPr="00265617">
        <w:rPr>
          <w:rFonts w:asciiTheme="minorHAnsi" w:eastAsia="Times New Roman" w:hAnsiTheme="minorHAnsi" w:cstheme="minorHAnsi"/>
          <w:color w:val="auto"/>
          <w:sz w:val="24"/>
          <w:szCs w:val="24"/>
        </w:rPr>
        <w:t>P</w:t>
      </w:r>
      <w:r w:rsidR="001B6C97" w:rsidRPr="00265617">
        <w:rPr>
          <w:rFonts w:asciiTheme="minorHAnsi" w:eastAsia="Times New Roman" w:hAnsiTheme="minorHAnsi" w:cstheme="minorHAnsi"/>
          <w:color w:val="auto"/>
          <w:sz w:val="24"/>
          <w:szCs w:val="24"/>
        </w:rPr>
        <w:t>lan and can be found by accessing the drop-down menu.</w:t>
      </w:r>
      <w:r w:rsidR="00F374AF" w:rsidRPr="00265617">
        <w:rPr>
          <w:rFonts w:asciiTheme="minorHAnsi" w:eastAsia="Times New Roman" w:hAnsiTheme="minorHAnsi" w:cstheme="minorHAnsi"/>
          <w:color w:val="auto"/>
          <w:sz w:val="24"/>
          <w:szCs w:val="24"/>
        </w:rPr>
        <w:t xml:space="preserve"> The ‘Strategy Description</w:t>
      </w:r>
      <w:r w:rsidR="00DE5D11" w:rsidRPr="00265617">
        <w:rPr>
          <w:rFonts w:asciiTheme="minorHAnsi" w:eastAsia="Times New Roman" w:hAnsiTheme="minorHAnsi" w:cstheme="minorHAnsi"/>
          <w:color w:val="auto"/>
          <w:sz w:val="24"/>
          <w:szCs w:val="24"/>
        </w:rPr>
        <w:t xml:space="preserve"> to Improve Effectiveness of Services</w:t>
      </w:r>
      <w:r w:rsidR="00F374AF" w:rsidRPr="00265617">
        <w:rPr>
          <w:rFonts w:asciiTheme="minorHAnsi" w:eastAsia="Times New Roman" w:hAnsiTheme="minorHAnsi" w:cstheme="minorHAnsi"/>
          <w:color w:val="auto"/>
          <w:sz w:val="24"/>
          <w:szCs w:val="24"/>
        </w:rPr>
        <w:t>’ section is limited to 5,000 characters.</w:t>
      </w:r>
    </w:p>
    <w:p w14:paraId="66A1F79E" w14:textId="77777777" w:rsidR="000B19B6" w:rsidRPr="00265617" w:rsidRDefault="000B19B6" w:rsidP="000B19B6">
      <w:pPr>
        <w:rPr>
          <w:rFonts w:asciiTheme="minorHAnsi" w:hAnsiTheme="minorHAnsi" w:cstheme="minorHAnsi"/>
        </w:rPr>
      </w:pPr>
    </w:p>
    <w:p w14:paraId="7A164197" w14:textId="2F21CEBB" w:rsidR="00C53499" w:rsidRPr="00265617" w:rsidRDefault="00C53499" w:rsidP="00A92AE6">
      <w:pPr>
        <w:pStyle w:val="Heading2"/>
        <w:rPr>
          <w:b/>
          <w:bCs/>
        </w:rPr>
      </w:pPr>
      <w:r w:rsidRPr="00265617">
        <w:rPr>
          <w:b/>
          <w:bCs/>
        </w:rPr>
        <w:t>Section 5: Financial Management</w:t>
      </w:r>
    </w:p>
    <w:p w14:paraId="3F04ABBC" w14:textId="313D0FEF" w:rsidR="00C53499" w:rsidRPr="00265617" w:rsidRDefault="00C53499" w:rsidP="00C53499"/>
    <w:p w14:paraId="0E9905FD" w14:textId="39559368" w:rsidR="00C53499" w:rsidRPr="00C53499" w:rsidRDefault="00C53499" w:rsidP="00C53499">
      <w:pPr>
        <w:jc w:val="both"/>
        <w:rPr>
          <w:rFonts w:asciiTheme="minorHAnsi" w:hAnsiTheme="minorHAnsi" w:cstheme="minorHAnsi"/>
        </w:rPr>
      </w:pPr>
      <w:r w:rsidRPr="00265617">
        <w:rPr>
          <w:rFonts w:asciiTheme="minorHAnsi" w:hAnsiTheme="minorHAnsi" w:cstheme="minorHAnsi"/>
        </w:rPr>
        <w:t xml:space="preserve">The financial management section will address the consortium’s planned allocations and outline how they will be consistent with the </w:t>
      </w:r>
      <w:r w:rsidR="00265617" w:rsidRPr="00265617">
        <w:rPr>
          <w:rFonts w:asciiTheme="minorHAnsi" w:hAnsiTheme="minorHAnsi" w:cstheme="minorHAnsi"/>
        </w:rPr>
        <w:t>A</w:t>
      </w:r>
      <w:r w:rsidRPr="00265617">
        <w:rPr>
          <w:rFonts w:asciiTheme="minorHAnsi" w:hAnsiTheme="minorHAnsi" w:cstheme="minorHAnsi"/>
        </w:rPr>
        <w:t xml:space="preserve">nnual </w:t>
      </w:r>
      <w:r w:rsidR="00265617" w:rsidRPr="00265617">
        <w:rPr>
          <w:rFonts w:asciiTheme="minorHAnsi" w:hAnsiTheme="minorHAnsi" w:cstheme="minorHAnsi"/>
        </w:rPr>
        <w:t>P</w:t>
      </w:r>
      <w:r w:rsidRPr="00265617">
        <w:rPr>
          <w:rFonts w:asciiTheme="minorHAnsi" w:hAnsiTheme="minorHAnsi" w:cstheme="minorHAnsi"/>
        </w:rPr>
        <w:t>lan. This section will also require the consortium to address how it will incorporate carry-over funds into the plan.</w:t>
      </w:r>
      <w:r w:rsidR="00B335AB" w:rsidRPr="00265617">
        <w:rPr>
          <w:rFonts w:asciiTheme="minorHAnsi" w:hAnsiTheme="minorHAnsi" w:cstheme="minorHAnsi"/>
        </w:rPr>
        <w:t xml:space="preserve"> In the first part of this section, consortia will provide an overview narrative justifying how the planned allocations are consistent with the consortium’s annual adult education plan, which is based on the CAEP </w:t>
      </w:r>
      <w:r w:rsidR="00265617" w:rsidRPr="00265617">
        <w:rPr>
          <w:rFonts w:asciiTheme="minorHAnsi" w:hAnsiTheme="minorHAnsi" w:cstheme="minorHAnsi"/>
        </w:rPr>
        <w:t>T</w:t>
      </w:r>
      <w:r w:rsidR="00B335AB" w:rsidRPr="00265617">
        <w:rPr>
          <w:rFonts w:asciiTheme="minorHAnsi" w:hAnsiTheme="minorHAnsi" w:cstheme="minorHAnsi"/>
        </w:rPr>
        <w:t>hree-</w:t>
      </w:r>
      <w:r w:rsidR="00265617" w:rsidRPr="00265617">
        <w:rPr>
          <w:rFonts w:asciiTheme="minorHAnsi" w:hAnsiTheme="minorHAnsi" w:cstheme="minorHAnsi"/>
        </w:rPr>
        <w:t>Y</w:t>
      </w:r>
      <w:r w:rsidR="00B335AB" w:rsidRPr="00265617">
        <w:rPr>
          <w:rFonts w:asciiTheme="minorHAnsi" w:hAnsiTheme="minorHAnsi" w:cstheme="minorHAnsi"/>
        </w:rPr>
        <w:t xml:space="preserve">ear </w:t>
      </w:r>
      <w:r w:rsidR="00265617" w:rsidRPr="00265617">
        <w:rPr>
          <w:rFonts w:asciiTheme="minorHAnsi" w:hAnsiTheme="minorHAnsi" w:cstheme="minorHAnsi"/>
        </w:rPr>
        <w:t>P</w:t>
      </w:r>
      <w:r w:rsidR="00B335AB" w:rsidRPr="00265617">
        <w:rPr>
          <w:rFonts w:asciiTheme="minorHAnsi" w:hAnsiTheme="minorHAnsi" w:cstheme="minorHAnsi"/>
        </w:rPr>
        <w:t>lan.</w:t>
      </w:r>
      <w:r w:rsidR="00B335AB">
        <w:rPr>
          <w:rFonts w:asciiTheme="minorHAnsi" w:hAnsiTheme="minorHAnsi" w:cstheme="minorHAnsi"/>
        </w:rPr>
        <w:t xml:space="preserve"> Next, the consortium will describe their approach to incorporating remaining carry-over funds prior from prior year(s) into strategies planned for the upcoming program year. </w:t>
      </w:r>
      <w:r w:rsidR="00F374AF">
        <w:rPr>
          <w:rFonts w:asciiTheme="minorHAnsi" w:hAnsiTheme="minorHAnsi" w:cstheme="minorHAnsi"/>
        </w:rPr>
        <w:t>The ‘Overview’ and ‘Approaches’ sections are limited to 5,000 characters each.</w:t>
      </w:r>
    </w:p>
    <w:p w14:paraId="09A473E4" w14:textId="77777777" w:rsidR="00C53499" w:rsidRPr="00C53499" w:rsidRDefault="00C53499" w:rsidP="00C53499"/>
    <w:p w14:paraId="3E3C3424" w14:textId="3E2705CC" w:rsidR="00A92AE6" w:rsidRPr="00A92AE6" w:rsidRDefault="00A92AE6" w:rsidP="00A92AE6">
      <w:pPr>
        <w:pStyle w:val="Heading2"/>
        <w:rPr>
          <w:b/>
          <w:bCs/>
        </w:rPr>
      </w:pPr>
      <w:r w:rsidRPr="00A92AE6">
        <w:rPr>
          <w:b/>
          <w:bCs/>
        </w:rPr>
        <w:t>Section 6: NOVA Instructions</w:t>
      </w:r>
    </w:p>
    <w:p w14:paraId="7897807E" w14:textId="77777777" w:rsidR="00DF1F3D" w:rsidRDefault="00DF1F3D" w:rsidP="0017430E">
      <w:pPr>
        <w:jc w:val="both"/>
        <w:rPr>
          <w:rFonts w:asciiTheme="minorHAnsi" w:hAnsiTheme="minorHAnsi" w:cstheme="minorHAnsi"/>
        </w:rPr>
      </w:pPr>
    </w:p>
    <w:p w14:paraId="26A9271D" w14:textId="5842C851" w:rsidR="00A92AE6" w:rsidRPr="00265617" w:rsidRDefault="00A92AE6" w:rsidP="0017430E">
      <w:pPr>
        <w:jc w:val="both"/>
        <w:rPr>
          <w:rFonts w:asciiTheme="minorHAnsi" w:hAnsiTheme="minorHAnsi" w:cstheme="minorHAnsi"/>
        </w:rPr>
      </w:pPr>
      <w:r w:rsidRPr="00265617">
        <w:rPr>
          <w:rFonts w:asciiTheme="minorHAnsi" w:hAnsiTheme="minorHAnsi" w:cstheme="minorHAnsi"/>
        </w:rPr>
        <w:t xml:space="preserve">This section will provide step-by-step instructions on how to complete the </w:t>
      </w:r>
      <w:r w:rsidR="00265617" w:rsidRPr="00265617">
        <w:rPr>
          <w:rFonts w:asciiTheme="minorHAnsi" w:hAnsiTheme="minorHAnsi" w:cstheme="minorHAnsi"/>
        </w:rPr>
        <w:t>A</w:t>
      </w:r>
      <w:r w:rsidRPr="00265617">
        <w:rPr>
          <w:rFonts w:asciiTheme="minorHAnsi" w:hAnsiTheme="minorHAnsi" w:cstheme="minorHAnsi"/>
        </w:rPr>
        <w:t xml:space="preserve">nnual </w:t>
      </w:r>
      <w:r w:rsidR="00265617" w:rsidRPr="00265617">
        <w:rPr>
          <w:rFonts w:asciiTheme="minorHAnsi" w:hAnsiTheme="minorHAnsi" w:cstheme="minorHAnsi"/>
        </w:rPr>
        <w:t>P</w:t>
      </w:r>
      <w:r w:rsidRPr="00265617">
        <w:rPr>
          <w:rFonts w:asciiTheme="minorHAnsi" w:hAnsiTheme="minorHAnsi" w:cstheme="minorHAnsi"/>
        </w:rPr>
        <w:t>lan in NOVA. The Consortium Primary Contact will log on to NOVA to complete the following steps:</w:t>
      </w:r>
    </w:p>
    <w:p w14:paraId="424E5BCD" w14:textId="77777777" w:rsidR="00A92AE6" w:rsidRPr="00265617" w:rsidRDefault="00A92AE6" w:rsidP="00A92AE6">
      <w:pPr>
        <w:rPr>
          <w:rFonts w:asciiTheme="minorHAnsi" w:hAnsiTheme="minorHAnsi" w:cstheme="minorHAnsi"/>
        </w:rPr>
      </w:pPr>
    </w:p>
    <w:p w14:paraId="5324A043" w14:textId="77777777" w:rsidR="00A92AE6" w:rsidRPr="00265617" w:rsidRDefault="00A92AE6" w:rsidP="00A92AE6">
      <w:pPr>
        <w:pStyle w:val="ListParagraph"/>
        <w:numPr>
          <w:ilvl w:val="0"/>
          <w:numId w:val="5"/>
        </w:numPr>
        <w:rPr>
          <w:rFonts w:cstheme="minorHAnsi"/>
        </w:rPr>
      </w:pPr>
      <w:r w:rsidRPr="00265617">
        <w:rPr>
          <w:rFonts w:cstheme="minorHAnsi"/>
        </w:rPr>
        <w:t>Scroll down to the Annual Plan section in NOVA (between the Allocations and Supporting Documents).</w:t>
      </w:r>
    </w:p>
    <w:p w14:paraId="3F250D8C" w14:textId="77777777" w:rsidR="00A92AE6" w:rsidRPr="00265617" w:rsidRDefault="00A92AE6" w:rsidP="00A92AE6">
      <w:pPr>
        <w:pStyle w:val="ListParagraph"/>
        <w:numPr>
          <w:ilvl w:val="0"/>
          <w:numId w:val="5"/>
        </w:numPr>
        <w:rPr>
          <w:rFonts w:cstheme="minorHAnsi"/>
        </w:rPr>
      </w:pPr>
      <w:r w:rsidRPr="00265617">
        <w:rPr>
          <w:rFonts w:cstheme="minorHAnsi"/>
        </w:rPr>
        <w:t>Click on ‘Annual Plan’ for Fund Year 2022-23.</w:t>
      </w:r>
    </w:p>
    <w:p w14:paraId="0B857A38" w14:textId="77777777" w:rsidR="00A92AE6" w:rsidRPr="00265617" w:rsidRDefault="00A92AE6" w:rsidP="00A92AE6">
      <w:pPr>
        <w:pStyle w:val="ListParagraph"/>
        <w:numPr>
          <w:ilvl w:val="0"/>
          <w:numId w:val="5"/>
        </w:numPr>
        <w:rPr>
          <w:rFonts w:cstheme="minorHAnsi"/>
        </w:rPr>
      </w:pPr>
      <w:r w:rsidRPr="00265617">
        <w:rPr>
          <w:rFonts w:cstheme="minorHAnsi"/>
        </w:rPr>
        <w:t>Click ‘Plans &amp; Goals’ if the section does not automatically appear.</w:t>
      </w:r>
    </w:p>
    <w:p w14:paraId="1AAE7F54" w14:textId="77777777" w:rsidR="00A92AE6" w:rsidRPr="00265617" w:rsidRDefault="00A92AE6" w:rsidP="00A92AE6">
      <w:pPr>
        <w:pStyle w:val="ListParagraph"/>
        <w:numPr>
          <w:ilvl w:val="0"/>
          <w:numId w:val="5"/>
        </w:numPr>
        <w:rPr>
          <w:rFonts w:cstheme="minorHAnsi"/>
        </w:rPr>
      </w:pPr>
      <w:r w:rsidRPr="00265617">
        <w:rPr>
          <w:rFonts w:cstheme="minorHAnsi"/>
        </w:rPr>
        <w:t>At the bottom of the page, select ‘Add Another Regional Need’ if there are additional regional needs to cover.</w:t>
      </w:r>
    </w:p>
    <w:p w14:paraId="335769D8" w14:textId="77777777" w:rsidR="00A92AE6" w:rsidRPr="00265617" w:rsidRDefault="00A92AE6" w:rsidP="00A92AE6">
      <w:pPr>
        <w:pStyle w:val="ListParagraph"/>
        <w:numPr>
          <w:ilvl w:val="0"/>
          <w:numId w:val="5"/>
        </w:numPr>
        <w:rPr>
          <w:rFonts w:cstheme="minorHAnsi"/>
        </w:rPr>
      </w:pPr>
      <w:r w:rsidRPr="00265617">
        <w:rPr>
          <w:rFonts w:cstheme="minorHAnsi"/>
        </w:rPr>
        <w:t>Upon completion of this section, select ‘Next’ to complete the ‘Address Educational Needs’ section.</w:t>
      </w:r>
    </w:p>
    <w:p w14:paraId="3B846361" w14:textId="1013FF98" w:rsidR="00A92AE6" w:rsidRPr="00265617" w:rsidRDefault="00A92AE6" w:rsidP="00A92AE6">
      <w:pPr>
        <w:pStyle w:val="ListParagraph"/>
        <w:numPr>
          <w:ilvl w:val="0"/>
          <w:numId w:val="5"/>
        </w:numPr>
        <w:rPr>
          <w:rFonts w:cstheme="minorHAnsi"/>
        </w:rPr>
      </w:pPr>
      <w:r w:rsidRPr="00265617">
        <w:rPr>
          <w:rFonts w:cstheme="minorHAnsi"/>
        </w:rPr>
        <w:t xml:space="preserve">When defining strategies, enter a name and select an activity that applies to the strategy from the drop-down list of activities. These activities were agreed to and included in your </w:t>
      </w:r>
      <w:r w:rsidR="00265617" w:rsidRPr="00265617">
        <w:rPr>
          <w:rFonts w:cstheme="minorHAnsi"/>
        </w:rPr>
        <w:t>T</w:t>
      </w:r>
      <w:r w:rsidRPr="00265617">
        <w:rPr>
          <w:rFonts w:cstheme="minorHAnsi"/>
        </w:rPr>
        <w:t>hree-</w:t>
      </w:r>
      <w:r w:rsidR="00265617" w:rsidRPr="00265617">
        <w:rPr>
          <w:rFonts w:cstheme="minorHAnsi"/>
        </w:rPr>
        <w:t>Y</w:t>
      </w:r>
      <w:r w:rsidRPr="00265617">
        <w:rPr>
          <w:rFonts w:cstheme="minorHAnsi"/>
        </w:rPr>
        <w:t xml:space="preserve">ear </w:t>
      </w:r>
      <w:r w:rsidR="00265617" w:rsidRPr="00265617">
        <w:rPr>
          <w:rFonts w:cstheme="minorHAnsi"/>
        </w:rPr>
        <w:t>P</w:t>
      </w:r>
      <w:r w:rsidRPr="00265617">
        <w:rPr>
          <w:rFonts w:cstheme="minorHAnsi"/>
        </w:rPr>
        <w:t>lan.</w:t>
      </w:r>
    </w:p>
    <w:p w14:paraId="60E546E5" w14:textId="03879BBE" w:rsidR="00A92AE6" w:rsidRPr="00265617" w:rsidRDefault="00A92AE6" w:rsidP="00A92AE6">
      <w:pPr>
        <w:pStyle w:val="ListParagraph"/>
        <w:numPr>
          <w:ilvl w:val="0"/>
          <w:numId w:val="5"/>
        </w:numPr>
        <w:rPr>
          <w:rFonts w:cstheme="minorHAnsi"/>
        </w:rPr>
      </w:pPr>
      <w:r w:rsidRPr="00265617">
        <w:rPr>
          <w:rFonts w:cstheme="minorHAnsi"/>
        </w:rPr>
        <w:t xml:space="preserve">Select a metric(s) that applies to the activity/strategy from the list of metrics included in the </w:t>
      </w:r>
      <w:r w:rsidR="00265617" w:rsidRPr="00265617">
        <w:rPr>
          <w:rFonts w:cstheme="minorHAnsi"/>
        </w:rPr>
        <w:t>T</w:t>
      </w:r>
      <w:r w:rsidRPr="00265617">
        <w:rPr>
          <w:rFonts w:cstheme="minorHAnsi"/>
        </w:rPr>
        <w:t>hree-</w:t>
      </w:r>
      <w:r w:rsidR="00265617" w:rsidRPr="00265617">
        <w:rPr>
          <w:rFonts w:cstheme="minorHAnsi"/>
        </w:rPr>
        <w:t>Y</w:t>
      </w:r>
      <w:r w:rsidRPr="00265617">
        <w:rPr>
          <w:rFonts w:cstheme="minorHAnsi"/>
        </w:rPr>
        <w:t xml:space="preserve">ear </w:t>
      </w:r>
      <w:r w:rsidR="00265617" w:rsidRPr="00265617">
        <w:rPr>
          <w:rFonts w:cstheme="minorHAnsi"/>
        </w:rPr>
        <w:t>P</w:t>
      </w:r>
      <w:r w:rsidRPr="00265617">
        <w:rPr>
          <w:rFonts w:cstheme="minorHAnsi"/>
        </w:rPr>
        <w:t>lan.</w:t>
      </w:r>
    </w:p>
    <w:p w14:paraId="56DDA40B" w14:textId="77777777" w:rsidR="00A92AE6" w:rsidRPr="00A92AE6" w:rsidRDefault="00A92AE6" w:rsidP="00A92AE6">
      <w:pPr>
        <w:pStyle w:val="ListParagraph"/>
        <w:numPr>
          <w:ilvl w:val="0"/>
          <w:numId w:val="5"/>
        </w:numPr>
        <w:rPr>
          <w:rFonts w:cstheme="minorHAnsi"/>
        </w:rPr>
      </w:pPr>
      <w:r w:rsidRPr="00A92AE6">
        <w:rPr>
          <w:rFonts w:cstheme="minorHAnsi"/>
          <w:highlight w:val="white"/>
        </w:rPr>
        <w:lastRenderedPageBreak/>
        <w:t xml:space="preserve">Describe strategies that the plan will support to address the educational needs. Include how the strategy will achieve the objective, and the educational needs, barriers and gaps in current education and workforce services. </w:t>
      </w:r>
    </w:p>
    <w:p w14:paraId="0FEB2692" w14:textId="77777777" w:rsidR="00A92AE6" w:rsidRPr="00A92AE6" w:rsidRDefault="00A92AE6" w:rsidP="00A92AE6">
      <w:pPr>
        <w:pStyle w:val="ListParagraph"/>
        <w:numPr>
          <w:ilvl w:val="0"/>
          <w:numId w:val="5"/>
        </w:numPr>
        <w:rPr>
          <w:rFonts w:cstheme="minorHAnsi"/>
        </w:rPr>
      </w:pPr>
      <w:r w:rsidRPr="00A92AE6">
        <w:rPr>
          <w:rFonts w:cstheme="minorHAnsi"/>
        </w:rPr>
        <w:t>At the bottom of the page, select ‘Add Strategy’ if there are additional strategies to cover.</w:t>
      </w:r>
    </w:p>
    <w:p w14:paraId="4B336A15" w14:textId="77777777" w:rsidR="00A92AE6" w:rsidRPr="00A92AE6" w:rsidRDefault="00A92AE6" w:rsidP="00A92AE6">
      <w:pPr>
        <w:pStyle w:val="ListParagraph"/>
        <w:numPr>
          <w:ilvl w:val="0"/>
          <w:numId w:val="5"/>
        </w:numPr>
        <w:rPr>
          <w:rFonts w:cstheme="minorHAnsi"/>
        </w:rPr>
      </w:pPr>
      <w:r w:rsidRPr="00A92AE6">
        <w:rPr>
          <w:rFonts w:cstheme="minorHAnsi"/>
        </w:rPr>
        <w:t>Upon completion of this section, select ‘Next’ to complete the next section.</w:t>
      </w:r>
    </w:p>
    <w:p w14:paraId="42B02269" w14:textId="77777777" w:rsidR="00642A08" w:rsidRDefault="00A92AE6" w:rsidP="00A92AE6">
      <w:pPr>
        <w:pStyle w:val="ListParagraph"/>
        <w:numPr>
          <w:ilvl w:val="0"/>
          <w:numId w:val="5"/>
        </w:numPr>
        <w:rPr>
          <w:rFonts w:cstheme="minorHAnsi"/>
        </w:rPr>
      </w:pPr>
      <w:r w:rsidRPr="00A92AE6">
        <w:rPr>
          <w:rFonts w:cstheme="minorHAnsi"/>
        </w:rPr>
        <w:t>Follow steps 6</w:t>
      </w:r>
      <w:r w:rsidR="00642A08">
        <w:rPr>
          <w:rFonts w:cstheme="minorHAnsi"/>
        </w:rPr>
        <w:t>-8 for the following two sections: Improve Integration of Services &amp; Transitions and Improve Effectiveness of Services.</w:t>
      </w:r>
    </w:p>
    <w:p w14:paraId="0E798691" w14:textId="102D56E9" w:rsidR="00A92AE6" w:rsidRPr="00A92AE6" w:rsidRDefault="00642A08" w:rsidP="00A92AE6">
      <w:pPr>
        <w:pStyle w:val="ListParagraph"/>
        <w:numPr>
          <w:ilvl w:val="0"/>
          <w:numId w:val="5"/>
        </w:numPr>
        <w:rPr>
          <w:rFonts w:cstheme="minorHAnsi"/>
        </w:rPr>
      </w:pPr>
      <w:r>
        <w:rPr>
          <w:rFonts w:cstheme="minorHAnsi"/>
        </w:rPr>
        <w:t xml:space="preserve">The next section, Fiscal Management, fill in narrative in the ‘Overview’ and ‘Approach to Incorporating Remaining Carry-over Funds’ sections. Click ‘Next’ to reach </w:t>
      </w:r>
      <w:r w:rsidR="00A92AE6" w:rsidRPr="00A92AE6">
        <w:rPr>
          <w:rFonts w:cstheme="minorHAnsi"/>
        </w:rPr>
        <w:t>‘Preview’ screen.</w:t>
      </w:r>
    </w:p>
    <w:p w14:paraId="672C2178" w14:textId="77777777" w:rsidR="00A92AE6" w:rsidRPr="00A92AE6" w:rsidRDefault="00A92AE6" w:rsidP="00A92AE6">
      <w:pPr>
        <w:pStyle w:val="ListParagraph"/>
        <w:numPr>
          <w:ilvl w:val="0"/>
          <w:numId w:val="5"/>
        </w:numPr>
        <w:rPr>
          <w:rFonts w:cstheme="minorHAnsi"/>
        </w:rPr>
      </w:pPr>
      <w:r w:rsidRPr="00A92AE6">
        <w:rPr>
          <w:rFonts w:cstheme="minorHAnsi"/>
        </w:rPr>
        <w:t>On the ‘Preview’ screen, the Primary Contact can enter any comments for the Members’ Representative(s) to review, then click ‘Ok.’</w:t>
      </w:r>
    </w:p>
    <w:p w14:paraId="230CECA9" w14:textId="77777777" w:rsidR="00A92AE6" w:rsidRPr="00912BA1" w:rsidRDefault="00A92AE6" w:rsidP="00A92AE6">
      <w:pPr>
        <w:pStyle w:val="ListParagraph"/>
        <w:numPr>
          <w:ilvl w:val="0"/>
          <w:numId w:val="5"/>
        </w:numPr>
      </w:pPr>
      <w:r w:rsidRPr="00A92AE6">
        <w:rPr>
          <w:rFonts w:cstheme="minorHAnsi"/>
        </w:rPr>
        <w:t>The Member Representative(s) will be notified to ‘Approve’ or ‘Reject’ the Annual Plan.</w:t>
      </w:r>
    </w:p>
    <w:p w14:paraId="41DFD0BB" w14:textId="77777777" w:rsidR="00A92AE6" w:rsidRPr="00912BA1" w:rsidRDefault="00A92AE6" w:rsidP="00A92AE6">
      <w:pPr>
        <w:pStyle w:val="Heading2"/>
        <w:rPr>
          <w:b/>
          <w:sz w:val="24"/>
          <w:szCs w:val="24"/>
        </w:rPr>
      </w:pPr>
    </w:p>
    <w:p w14:paraId="42577EC2" w14:textId="0F9DD226" w:rsidR="00A92AE6" w:rsidRDefault="00A92AE6" w:rsidP="00A92AE6">
      <w:pPr>
        <w:pStyle w:val="Heading2"/>
        <w:rPr>
          <w:b/>
          <w:bCs/>
        </w:rPr>
      </w:pPr>
      <w:r w:rsidRPr="00A92AE6">
        <w:rPr>
          <w:b/>
          <w:bCs/>
        </w:rPr>
        <w:t>Section 7: Annual Plan Tips</w:t>
      </w:r>
    </w:p>
    <w:p w14:paraId="3493AC5C" w14:textId="075830E6" w:rsidR="009B550D" w:rsidRPr="00265617" w:rsidRDefault="009B550D" w:rsidP="009B550D">
      <w:pPr>
        <w:rPr>
          <w:rFonts w:asciiTheme="minorHAnsi" w:eastAsiaTheme="minorHAnsi" w:hAnsiTheme="minorHAnsi" w:cstheme="minorBidi"/>
        </w:rPr>
      </w:pPr>
      <w:r w:rsidRPr="009B550D">
        <w:rPr>
          <w:rFonts w:asciiTheme="minorHAnsi" w:eastAsiaTheme="minorHAnsi" w:hAnsiTheme="minorHAnsi" w:cstheme="minorBidi"/>
        </w:rPr>
        <w:t xml:space="preserve">The last section of </w:t>
      </w:r>
      <w:r w:rsidRPr="00265617">
        <w:rPr>
          <w:rFonts w:asciiTheme="minorHAnsi" w:eastAsiaTheme="minorHAnsi" w:hAnsiTheme="minorHAnsi" w:cstheme="minorBidi"/>
        </w:rPr>
        <w:t xml:space="preserve">the </w:t>
      </w:r>
      <w:r w:rsidR="00265617" w:rsidRPr="00265617">
        <w:rPr>
          <w:rFonts w:asciiTheme="minorHAnsi" w:eastAsiaTheme="minorHAnsi" w:hAnsiTheme="minorHAnsi" w:cstheme="minorBidi"/>
        </w:rPr>
        <w:t>A</w:t>
      </w:r>
      <w:r w:rsidRPr="00265617">
        <w:rPr>
          <w:rFonts w:asciiTheme="minorHAnsi" w:eastAsiaTheme="minorHAnsi" w:hAnsiTheme="minorHAnsi" w:cstheme="minorBidi"/>
        </w:rPr>
        <w:t xml:space="preserve">nnual </w:t>
      </w:r>
      <w:r w:rsidR="00265617" w:rsidRPr="00265617">
        <w:rPr>
          <w:rFonts w:asciiTheme="minorHAnsi" w:eastAsiaTheme="minorHAnsi" w:hAnsiTheme="minorHAnsi" w:cstheme="minorBidi"/>
        </w:rPr>
        <w:t>P</w:t>
      </w:r>
      <w:r w:rsidRPr="00265617">
        <w:rPr>
          <w:rFonts w:asciiTheme="minorHAnsi" w:eastAsiaTheme="minorHAnsi" w:hAnsiTheme="minorHAnsi" w:cstheme="minorBidi"/>
        </w:rPr>
        <w:t xml:space="preserve">lan </w:t>
      </w:r>
      <w:r w:rsidR="00265617" w:rsidRPr="00265617">
        <w:rPr>
          <w:rFonts w:asciiTheme="minorHAnsi" w:eastAsiaTheme="minorHAnsi" w:hAnsiTheme="minorHAnsi" w:cstheme="minorBidi"/>
        </w:rPr>
        <w:t>G</w:t>
      </w:r>
      <w:r w:rsidRPr="00265617">
        <w:rPr>
          <w:rFonts w:asciiTheme="minorHAnsi" w:eastAsiaTheme="minorHAnsi" w:hAnsiTheme="minorHAnsi" w:cstheme="minorBidi"/>
        </w:rPr>
        <w:t xml:space="preserve">uidance document will provide consortia and members helpful tips as they navigate completing the </w:t>
      </w:r>
      <w:r w:rsidR="00265617" w:rsidRPr="00265617">
        <w:rPr>
          <w:rFonts w:asciiTheme="minorHAnsi" w:eastAsiaTheme="minorHAnsi" w:hAnsiTheme="minorHAnsi" w:cstheme="minorBidi"/>
        </w:rPr>
        <w:t>A</w:t>
      </w:r>
      <w:r w:rsidRPr="00265617">
        <w:rPr>
          <w:rFonts w:asciiTheme="minorHAnsi" w:eastAsiaTheme="minorHAnsi" w:hAnsiTheme="minorHAnsi" w:cstheme="minorBidi"/>
        </w:rPr>
        <w:t xml:space="preserve">nnual </w:t>
      </w:r>
      <w:r w:rsidR="00265617" w:rsidRPr="00265617">
        <w:rPr>
          <w:rFonts w:asciiTheme="minorHAnsi" w:eastAsiaTheme="minorHAnsi" w:hAnsiTheme="minorHAnsi" w:cstheme="minorBidi"/>
        </w:rPr>
        <w:t>P</w:t>
      </w:r>
      <w:r w:rsidRPr="00265617">
        <w:rPr>
          <w:rFonts w:asciiTheme="minorHAnsi" w:eastAsiaTheme="minorHAnsi" w:hAnsiTheme="minorHAnsi" w:cstheme="minorBidi"/>
        </w:rPr>
        <w:t xml:space="preserve">lan. </w:t>
      </w:r>
    </w:p>
    <w:p w14:paraId="24539285" w14:textId="77777777" w:rsidR="0017430E" w:rsidRPr="00265617" w:rsidRDefault="0017430E" w:rsidP="009B550D">
      <w:pPr>
        <w:rPr>
          <w:rFonts w:asciiTheme="minorHAnsi" w:eastAsiaTheme="minorHAnsi" w:hAnsiTheme="minorHAnsi" w:cstheme="minorBidi"/>
        </w:rPr>
      </w:pPr>
    </w:p>
    <w:p w14:paraId="31A6B6BD" w14:textId="609FE9AA" w:rsidR="00A92AE6" w:rsidRPr="00265617" w:rsidRDefault="00A92AE6" w:rsidP="00A92AE6">
      <w:pPr>
        <w:pStyle w:val="ListParagraph"/>
        <w:numPr>
          <w:ilvl w:val="0"/>
          <w:numId w:val="4"/>
        </w:numPr>
      </w:pPr>
      <w:r w:rsidRPr="00265617">
        <w:t xml:space="preserve">Consortia can copy and paste from last year’s </w:t>
      </w:r>
      <w:r w:rsidR="00265617" w:rsidRPr="00265617">
        <w:t>A</w:t>
      </w:r>
      <w:r w:rsidRPr="00265617">
        <w:t xml:space="preserve">nnual </w:t>
      </w:r>
      <w:r w:rsidR="00265617" w:rsidRPr="00265617">
        <w:t>P</w:t>
      </w:r>
      <w:r w:rsidRPr="00265617">
        <w:t xml:space="preserve">lan or modify existing strategies that are ongoing. The </w:t>
      </w:r>
      <w:r w:rsidR="00265617" w:rsidRPr="00265617">
        <w:t xml:space="preserve">Annual Plan </w:t>
      </w:r>
      <w:r w:rsidRPr="00265617">
        <w:t xml:space="preserve">can have a mixture of new and/or existing strategies. If a consortium’s </w:t>
      </w:r>
      <w:r w:rsidR="00265617" w:rsidRPr="00265617">
        <w:t xml:space="preserve">Annual Plan </w:t>
      </w:r>
      <w:r w:rsidRPr="00265617">
        <w:t>is similar to the prior year, please do your best to describe what is different from last year to this year (i.e. maybe you have completed some of the strategy action steps, but not all) and how it is responsive to current events described above.</w:t>
      </w:r>
    </w:p>
    <w:p w14:paraId="63BD3777" w14:textId="77777777" w:rsidR="00A92AE6" w:rsidRPr="00265617" w:rsidRDefault="00A92AE6" w:rsidP="00A92AE6"/>
    <w:p w14:paraId="6D05C305" w14:textId="6BC9B931" w:rsidR="00A92AE6" w:rsidRPr="00265617" w:rsidRDefault="00A92AE6" w:rsidP="00A92AE6">
      <w:pPr>
        <w:pStyle w:val="ListParagraph"/>
        <w:numPr>
          <w:ilvl w:val="0"/>
          <w:numId w:val="4"/>
        </w:numPr>
      </w:pPr>
      <w:r w:rsidRPr="00265617">
        <w:t xml:space="preserve">The </w:t>
      </w:r>
      <w:r w:rsidR="00265617" w:rsidRPr="00265617">
        <w:t xml:space="preserve">Annual Plan </w:t>
      </w:r>
      <w:r w:rsidRPr="00265617">
        <w:t>can consist of implementing existing strategies as the CAEP Office knows some strategies are long term in nature.</w:t>
      </w:r>
    </w:p>
    <w:p w14:paraId="11177B26" w14:textId="77777777" w:rsidR="00A92AE6" w:rsidRPr="00265617" w:rsidRDefault="00A92AE6" w:rsidP="00A92AE6">
      <w:pPr>
        <w:pStyle w:val="ListParagraph"/>
      </w:pPr>
    </w:p>
    <w:p w14:paraId="4CDC1CAC" w14:textId="7CD00153" w:rsidR="00A92AE6" w:rsidRPr="00265617" w:rsidRDefault="00A92AE6" w:rsidP="00A92AE6">
      <w:pPr>
        <w:pStyle w:val="ListParagraph"/>
        <w:numPr>
          <w:ilvl w:val="0"/>
          <w:numId w:val="4"/>
        </w:numPr>
      </w:pPr>
      <w:r w:rsidRPr="00265617">
        <w:t xml:space="preserve">CAEP planning is hierarchical – the </w:t>
      </w:r>
      <w:r w:rsidR="00265617" w:rsidRPr="00265617">
        <w:t>T</w:t>
      </w:r>
      <w:r w:rsidRPr="00265617">
        <w:t>hree-</w:t>
      </w:r>
      <w:r w:rsidR="00265617" w:rsidRPr="00265617">
        <w:t>Y</w:t>
      </w:r>
      <w:r w:rsidRPr="00265617">
        <w:t xml:space="preserve">ear </w:t>
      </w:r>
      <w:r w:rsidR="00265617" w:rsidRPr="00265617">
        <w:t>P</w:t>
      </w:r>
      <w:r w:rsidRPr="00265617">
        <w:t xml:space="preserve">lan aligns with the State’s CAEP vision and goals. The </w:t>
      </w:r>
      <w:r w:rsidR="00265617" w:rsidRPr="00265617">
        <w:t xml:space="preserve">Annual Plan </w:t>
      </w:r>
      <w:r w:rsidRPr="00265617">
        <w:t>contains those strategies that help consortia achieve those goals. The member’s budget and expenses support those specific strategies.</w:t>
      </w:r>
    </w:p>
    <w:p w14:paraId="3344D158" w14:textId="77777777" w:rsidR="00A92AE6" w:rsidRPr="00265617" w:rsidRDefault="00A92AE6" w:rsidP="00A92AE6">
      <w:pPr>
        <w:pStyle w:val="ListParagraph"/>
      </w:pPr>
    </w:p>
    <w:p w14:paraId="721FF528" w14:textId="0AA6BAFB" w:rsidR="00A92AE6" w:rsidRPr="00265617" w:rsidRDefault="00A92AE6" w:rsidP="00A92AE6">
      <w:pPr>
        <w:pStyle w:val="ListParagraph"/>
        <w:numPr>
          <w:ilvl w:val="0"/>
          <w:numId w:val="4"/>
        </w:numPr>
      </w:pPr>
      <w:r w:rsidRPr="00265617">
        <w:t xml:space="preserve">Annual </w:t>
      </w:r>
      <w:r w:rsidR="00265617" w:rsidRPr="00265617">
        <w:t>P</w:t>
      </w:r>
      <w:r w:rsidRPr="00265617">
        <w:t xml:space="preserve">lans can be amended throughout the program year. </w:t>
      </w:r>
    </w:p>
    <w:p w14:paraId="4F0CF7B7" w14:textId="77777777" w:rsidR="00A92AE6" w:rsidRPr="00265617" w:rsidRDefault="00A92AE6" w:rsidP="00A92AE6">
      <w:pPr>
        <w:pStyle w:val="ListParagraph"/>
      </w:pPr>
    </w:p>
    <w:p w14:paraId="3F880ECF" w14:textId="77777777" w:rsidR="00A92AE6" w:rsidRPr="00265617" w:rsidRDefault="00A92AE6" w:rsidP="00A92AE6">
      <w:pPr>
        <w:pStyle w:val="ListParagraph"/>
        <w:numPr>
          <w:ilvl w:val="0"/>
          <w:numId w:val="4"/>
        </w:numPr>
      </w:pPr>
      <w:r w:rsidRPr="00265617">
        <w:t xml:space="preserve">Use the ‘Send Reminder’ feature in NOVA to notify Member Representatives to approve. </w:t>
      </w:r>
    </w:p>
    <w:p w14:paraId="61ACE12E" w14:textId="77777777" w:rsidR="00A92AE6" w:rsidRPr="00265617" w:rsidRDefault="00A92AE6" w:rsidP="00A92AE6">
      <w:pPr>
        <w:pStyle w:val="ListParagraph"/>
      </w:pPr>
    </w:p>
    <w:p w14:paraId="40479494" w14:textId="0E6A7A76" w:rsidR="00A92AE6" w:rsidRPr="00265617" w:rsidRDefault="00A92AE6" w:rsidP="00A92AE6">
      <w:pPr>
        <w:pStyle w:val="ListParagraph"/>
        <w:numPr>
          <w:ilvl w:val="0"/>
          <w:numId w:val="4"/>
        </w:numPr>
      </w:pPr>
      <w:r w:rsidRPr="00265617">
        <w:t xml:space="preserve">Consortia </w:t>
      </w:r>
      <w:r w:rsidR="00265617" w:rsidRPr="00265617">
        <w:t>W</w:t>
      </w:r>
      <w:r w:rsidRPr="00265617">
        <w:t xml:space="preserve">orkplans and </w:t>
      </w:r>
      <w:r w:rsidR="00265617" w:rsidRPr="00265617">
        <w:t>B</w:t>
      </w:r>
      <w:r w:rsidRPr="00265617">
        <w:t xml:space="preserve">udgets will open after the </w:t>
      </w:r>
      <w:r w:rsidR="00265617" w:rsidRPr="00265617">
        <w:t>W</w:t>
      </w:r>
      <w:r w:rsidRPr="00265617">
        <w:t xml:space="preserve">orkplan and </w:t>
      </w:r>
      <w:r w:rsidR="00265617" w:rsidRPr="00265617">
        <w:t>B</w:t>
      </w:r>
      <w:r w:rsidRPr="00265617">
        <w:t>udget has been approved by all Member Representatives.</w:t>
      </w:r>
    </w:p>
    <w:p w14:paraId="151BB6B4" w14:textId="77777777" w:rsidR="00A92AE6" w:rsidRPr="00265617" w:rsidRDefault="00A92AE6" w:rsidP="00A92AE6">
      <w:pPr>
        <w:pStyle w:val="ListParagraph"/>
      </w:pPr>
    </w:p>
    <w:p w14:paraId="5597556D" w14:textId="00B2D66E" w:rsidR="00A92AE6" w:rsidRPr="00265617" w:rsidRDefault="00A92AE6" w:rsidP="00A92AE6">
      <w:pPr>
        <w:pStyle w:val="ListParagraph"/>
        <w:numPr>
          <w:ilvl w:val="0"/>
          <w:numId w:val="4"/>
        </w:numPr>
      </w:pPr>
      <w:r w:rsidRPr="00265617">
        <w:t xml:space="preserve">The consortium </w:t>
      </w:r>
      <w:r w:rsidR="00265617" w:rsidRPr="00265617">
        <w:t xml:space="preserve">Annual Plan </w:t>
      </w:r>
      <w:r w:rsidRPr="00265617">
        <w:t>strategies will be used by consortium members to drive their member workplans and they will be consortium certified by October 30</w:t>
      </w:r>
      <w:r w:rsidRPr="00265617">
        <w:rPr>
          <w:vertAlign w:val="superscript"/>
        </w:rPr>
        <w:t>th</w:t>
      </w:r>
      <w:r w:rsidRPr="00265617">
        <w:t xml:space="preserve">. </w:t>
      </w:r>
      <w:r w:rsidRPr="00265617">
        <w:lastRenderedPageBreak/>
        <w:t xml:space="preserve">Members will select a specific number of strategies from the </w:t>
      </w:r>
      <w:r w:rsidR="00265617" w:rsidRPr="00265617">
        <w:t xml:space="preserve">Annual Plan </w:t>
      </w:r>
      <w:r w:rsidRPr="00265617">
        <w:t>to focus on from July 1</w:t>
      </w:r>
      <w:r w:rsidR="006862A5" w:rsidRPr="00265617">
        <w:rPr>
          <w:vertAlign w:val="superscript"/>
        </w:rPr>
        <w:t>st</w:t>
      </w:r>
      <w:r w:rsidR="006862A5" w:rsidRPr="00265617">
        <w:t xml:space="preserve"> </w:t>
      </w:r>
      <w:r w:rsidRPr="00265617">
        <w:t>to June 30</w:t>
      </w:r>
      <w:r w:rsidRPr="00265617">
        <w:rPr>
          <w:vertAlign w:val="superscript"/>
        </w:rPr>
        <w:t>th</w:t>
      </w:r>
      <w:r w:rsidRPr="00265617">
        <w:t>.</w:t>
      </w:r>
    </w:p>
    <w:p w14:paraId="29B50F50" w14:textId="77777777" w:rsidR="00A92AE6" w:rsidRPr="00265617" w:rsidRDefault="00A92AE6" w:rsidP="00A92AE6">
      <w:pPr>
        <w:pStyle w:val="ListParagraph"/>
      </w:pPr>
    </w:p>
    <w:p w14:paraId="0BFB2EB9" w14:textId="3D753C4E" w:rsidR="00A92AE6" w:rsidRPr="00A92AE6" w:rsidRDefault="00A92AE6" w:rsidP="00A92AE6">
      <w:pPr>
        <w:pStyle w:val="ListParagraph"/>
        <w:numPr>
          <w:ilvl w:val="0"/>
          <w:numId w:val="4"/>
        </w:numPr>
      </w:pPr>
      <w:r w:rsidRPr="00265617">
        <w:t>The strategies are selected by checking a box</w:t>
      </w:r>
      <w:r w:rsidRPr="00A92AE6">
        <w:t xml:space="preserve"> (no need to rewrite the strategies or provide additional information).</w:t>
      </w:r>
    </w:p>
    <w:p w14:paraId="57C8AC26" w14:textId="65D669DC" w:rsidR="00965D9C" w:rsidRDefault="00965D9C" w:rsidP="00850C2C">
      <w:pPr>
        <w:rPr>
          <w:rFonts w:asciiTheme="minorHAnsi" w:hAnsiTheme="minorHAnsi" w:cstheme="minorHAnsi"/>
        </w:rPr>
      </w:pPr>
    </w:p>
    <w:p w14:paraId="6DA7FACE" w14:textId="17A38BB4" w:rsidR="00091DD4" w:rsidRPr="00091DD4" w:rsidRDefault="00091DD4" w:rsidP="00091DD4">
      <w:pPr>
        <w:pStyle w:val="Heading2"/>
        <w:rPr>
          <w:b/>
          <w:bCs/>
        </w:rPr>
      </w:pPr>
      <w:r w:rsidRPr="00091DD4">
        <w:rPr>
          <w:b/>
          <w:bCs/>
        </w:rPr>
        <w:t>Section 8: Preview &amp; Submit</w:t>
      </w:r>
    </w:p>
    <w:p w14:paraId="78334869" w14:textId="375C2D4A" w:rsidR="00091DD4" w:rsidRDefault="00091DD4" w:rsidP="00850C2C">
      <w:pPr>
        <w:rPr>
          <w:rFonts w:asciiTheme="minorHAnsi" w:hAnsiTheme="minorHAnsi" w:cstheme="minorHAnsi"/>
        </w:rPr>
      </w:pPr>
    </w:p>
    <w:p w14:paraId="1AC2E4AA" w14:textId="4207EF48" w:rsidR="005C0DF9" w:rsidRPr="005C0DF9" w:rsidRDefault="005C0DF9" w:rsidP="005C0DF9">
      <w:pPr>
        <w:jc w:val="both"/>
        <w:rPr>
          <w:rFonts w:asciiTheme="minorHAnsi" w:hAnsiTheme="minorHAnsi" w:cstheme="minorHAnsi"/>
        </w:rPr>
      </w:pPr>
      <w:r w:rsidRPr="005C0DF9">
        <w:rPr>
          <w:rFonts w:asciiTheme="minorHAnsi" w:hAnsiTheme="minorHAnsi" w:cstheme="minorHAnsi"/>
        </w:rPr>
        <w:t>Review the content of each prior section. To edit any of the content, click on the section name</w:t>
      </w:r>
      <w:r>
        <w:rPr>
          <w:rFonts w:asciiTheme="minorHAnsi" w:hAnsiTheme="minorHAnsi" w:cstheme="minorHAnsi"/>
        </w:rPr>
        <w:t xml:space="preserve"> </w:t>
      </w:r>
      <w:r w:rsidRPr="005C0DF9">
        <w:rPr>
          <w:rFonts w:asciiTheme="minorHAnsi" w:hAnsiTheme="minorHAnsi" w:cstheme="minorHAnsi"/>
        </w:rPr>
        <w:t xml:space="preserve">in the </w:t>
      </w:r>
      <w:r w:rsidR="006862A5">
        <w:rPr>
          <w:rFonts w:asciiTheme="minorHAnsi" w:hAnsiTheme="minorHAnsi" w:cstheme="minorHAnsi"/>
        </w:rPr>
        <w:t>workf</w:t>
      </w:r>
      <w:r w:rsidR="00265617">
        <w:rPr>
          <w:rFonts w:asciiTheme="minorHAnsi" w:hAnsiTheme="minorHAnsi" w:cstheme="minorHAnsi"/>
        </w:rPr>
        <w:t>low</w:t>
      </w:r>
      <w:r w:rsidR="006862A5">
        <w:rPr>
          <w:rFonts w:asciiTheme="minorHAnsi" w:hAnsiTheme="minorHAnsi" w:cstheme="minorHAnsi"/>
        </w:rPr>
        <w:t xml:space="preserve"> </w:t>
      </w:r>
      <w:r w:rsidR="00265617">
        <w:rPr>
          <w:rFonts w:asciiTheme="minorHAnsi" w:hAnsiTheme="minorHAnsi" w:cstheme="minorHAnsi"/>
        </w:rPr>
        <w:t>menu</w:t>
      </w:r>
      <w:r w:rsidRPr="005C0DF9">
        <w:rPr>
          <w:rFonts w:asciiTheme="minorHAnsi" w:hAnsiTheme="minorHAnsi" w:cstheme="minorHAnsi"/>
        </w:rPr>
        <w:t xml:space="preserve"> to be taken to an editable version of that section. When satisfied with all</w:t>
      </w:r>
      <w:r>
        <w:rPr>
          <w:rFonts w:asciiTheme="minorHAnsi" w:hAnsiTheme="minorHAnsi" w:cstheme="minorHAnsi"/>
        </w:rPr>
        <w:t xml:space="preserve"> </w:t>
      </w:r>
      <w:r w:rsidRPr="005C0DF9">
        <w:rPr>
          <w:rFonts w:asciiTheme="minorHAnsi" w:hAnsiTheme="minorHAnsi" w:cstheme="minorHAnsi"/>
        </w:rPr>
        <w:t xml:space="preserve">the content in the </w:t>
      </w:r>
      <w:r w:rsidR="00793266">
        <w:rPr>
          <w:rFonts w:asciiTheme="minorHAnsi" w:hAnsiTheme="minorHAnsi" w:cstheme="minorHAnsi"/>
        </w:rPr>
        <w:t>A</w:t>
      </w:r>
      <w:r>
        <w:rPr>
          <w:rFonts w:asciiTheme="minorHAnsi" w:hAnsiTheme="minorHAnsi" w:cstheme="minorHAnsi"/>
        </w:rPr>
        <w:t xml:space="preserve">nnual </w:t>
      </w:r>
      <w:r w:rsidR="00793266">
        <w:rPr>
          <w:rFonts w:asciiTheme="minorHAnsi" w:hAnsiTheme="minorHAnsi" w:cstheme="minorHAnsi"/>
        </w:rPr>
        <w:t>P</w:t>
      </w:r>
      <w:r>
        <w:rPr>
          <w:rFonts w:asciiTheme="minorHAnsi" w:hAnsiTheme="minorHAnsi" w:cstheme="minorHAnsi"/>
        </w:rPr>
        <w:t>lan</w:t>
      </w:r>
      <w:r w:rsidRPr="005C0DF9">
        <w:rPr>
          <w:rFonts w:asciiTheme="minorHAnsi" w:hAnsiTheme="minorHAnsi" w:cstheme="minorHAnsi"/>
        </w:rPr>
        <w:t>, click Submit to submit the plan for review by consortium</w:t>
      </w:r>
      <w:r>
        <w:rPr>
          <w:rFonts w:asciiTheme="minorHAnsi" w:hAnsiTheme="minorHAnsi" w:cstheme="minorHAnsi"/>
        </w:rPr>
        <w:t xml:space="preserve"> </w:t>
      </w:r>
      <w:r w:rsidRPr="005C0DF9">
        <w:rPr>
          <w:rFonts w:asciiTheme="minorHAnsi" w:hAnsiTheme="minorHAnsi" w:cstheme="minorHAnsi"/>
        </w:rPr>
        <w:t>members</w:t>
      </w:r>
      <w:r>
        <w:rPr>
          <w:rFonts w:asciiTheme="minorHAnsi" w:hAnsiTheme="minorHAnsi" w:cstheme="minorHAnsi"/>
        </w:rPr>
        <w:t xml:space="preserve"> </w:t>
      </w:r>
      <w:r w:rsidRPr="005C0DF9">
        <w:rPr>
          <w:rFonts w:asciiTheme="minorHAnsi" w:hAnsiTheme="minorHAnsi" w:cstheme="minorHAnsi"/>
        </w:rPr>
        <w:t>and for completeness by CAEP TAP. Once the plan is submitted, member</w:t>
      </w:r>
      <w:r>
        <w:rPr>
          <w:rFonts w:asciiTheme="minorHAnsi" w:hAnsiTheme="minorHAnsi" w:cstheme="minorHAnsi"/>
        </w:rPr>
        <w:t xml:space="preserve"> </w:t>
      </w:r>
      <w:r w:rsidRPr="005C0DF9">
        <w:rPr>
          <w:rFonts w:asciiTheme="minorHAnsi" w:hAnsiTheme="minorHAnsi" w:cstheme="minorHAnsi"/>
        </w:rPr>
        <w:t>representatives will be notified via email to review and approve the plan.</w:t>
      </w:r>
    </w:p>
    <w:p w14:paraId="66424779" w14:textId="033407E0" w:rsidR="005C0DF9" w:rsidRDefault="005C0DF9" w:rsidP="005C0DF9">
      <w:pPr>
        <w:rPr>
          <w:rFonts w:asciiTheme="minorHAnsi" w:hAnsiTheme="minorHAnsi" w:cstheme="minorHAnsi"/>
        </w:rPr>
      </w:pPr>
    </w:p>
    <w:p w14:paraId="7E1EC3DC" w14:textId="7D3FF5D3" w:rsidR="00793266" w:rsidRPr="00793266" w:rsidRDefault="00793266" w:rsidP="00793266">
      <w:pPr>
        <w:jc w:val="both"/>
        <w:rPr>
          <w:rFonts w:asciiTheme="minorHAnsi" w:hAnsiTheme="minorHAnsi" w:cstheme="minorHAnsi"/>
        </w:rPr>
      </w:pPr>
      <w:r w:rsidRPr="00793266">
        <w:rPr>
          <w:rFonts w:asciiTheme="minorHAnsi" w:hAnsiTheme="minorHAnsi" w:cstheme="minorHAnsi"/>
          <w:bdr w:val="none" w:sz="0" w:space="0" w:color="auto" w:frame="1"/>
        </w:rPr>
        <w:t>If you have any questions regarding this information or the process, please contact the CAEP Technical Assistance Project at </w:t>
      </w:r>
      <w:hyperlink r:id="rId14" w:tgtFrame="_blank" w:history="1">
        <w:r w:rsidRPr="00793266">
          <w:rPr>
            <w:rFonts w:asciiTheme="minorHAnsi" w:hAnsiTheme="minorHAnsi" w:cstheme="minorHAnsi"/>
            <w:color w:val="0000FF"/>
            <w:u w:val="single"/>
            <w:bdr w:val="none" w:sz="0" w:space="0" w:color="auto" w:frame="1"/>
          </w:rPr>
          <w:t>tap@caladulted.org</w:t>
        </w:r>
      </w:hyperlink>
      <w:r w:rsidRPr="00793266">
        <w:rPr>
          <w:rFonts w:asciiTheme="minorHAnsi" w:hAnsiTheme="minorHAnsi" w:cstheme="minorHAnsi"/>
          <w:bdr w:val="none" w:sz="0" w:space="0" w:color="auto" w:frame="1"/>
        </w:rPr>
        <w:t xml:space="preserve"> (888) 827-2324</w:t>
      </w:r>
      <w:r w:rsidRPr="00793266">
        <w:rPr>
          <w:rFonts w:asciiTheme="minorHAnsi" w:hAnsiTheme="minorHAnsi" w:cstheme="minorHAnsi"/>
          <w:color w:val="201F1E"/>
          <w:bdr w:val="none" w:sz="0" w:space="0" w:color="auto" w:frame="1"/>
        </w:rPr>
        <w:t xml:space="preserve">. </w:t>
      </w:r>
      <w:r w:rsidRPr="00793266">
        <w:rPr>
          <w:rFonts w:asciiTheme="minorHAnsi" w:hAnsiTheme="minorHAnsi" w:cstheme="minorHAnsi"/>
          <w:bdr w:val="none" w:sz="0" w:space="0" w:color="auto" w:frame="1"/>
        </w:rPr>
        <w:t>Additionally, if you would like assistance completing the Annual Plan, please contact CAEP TAP to set up a training.</w:t>
      </w:r>
    </w:p>
    <w:sectPr w:rsidR="00793266" w:rsidRPr="0079326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579A" w14:textId="77777777" w:rsidR="0043264F" w:rsidRDefault="0043264F" w:rsidP="00051355">
      <w:r>
        <w:separator/>
      </w:r>
    </w:p>
  </w:endnote>
  <w:endnote w:type="continuationSeparator" w:id="0">
    <w:p w14:paraId="1A8FA235" w14:textId="77777777" w:rsidR="0043264F" w:rsidRDefault="0043264F" w:rsidP="000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3984135"/>
      <w:docPartObj>
        <w:docPartGallery w:val="Page Numbers (Bottom of Page)"/>
        <w:docPartUnique/>
      </w:docPartObj>
    </w:sdtPr>
    <w:sdtContent>
      <w:p w14:paraId="7B5C0248" w14:textId="41A3DA85" w:rsidR="00B20FB7" w:rsidRDefault="00B20FB7" w:rsidP="008F22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D56A4E" w14:textId="77777777" w:rsidR="00B20FB7" w:rsidRDefault="00B20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420121"/>
      <w:docPartObj>
        <w:docPartGallery w:val="Page Numbers (Bottom of Page)"/>
        <w:docPartUnique/>
      </w:docPartObj>
    </w:sdtPr>
    <w:sdtContent>
      <w:p w14:paraId="58D2F822" w14:textId="66C3B483" w:rsidR="00B20FB7" w:rsidRDefault="00B20FB7" w:rsidP="008F22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E244A" w14:textId="77777777" w:rsidR="00B20FB7" w:rsidRDefault="00B2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E9A6" w14:textId="77777777" w:rsidR="0043264F" w:rsidRDefault="0043264F" w:rsidP="00051355">
      <w:r>
        <w:separator/>
      </w:r>
    </w:p>
  </w:footnote>
  <w:footnote w:type="continuationSeparator" w:id="0">
    <w:p w14:paraId="34218F3F" w14:textId="77777777" w:rsidR="0043264F" w:rsidRDefault="0043264F" w:rsidP="000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3676" w14:textId="77777777" w:rsidR="00051355" w:rsidRDefault="00051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3158"/>
    <w:multiLevelType w:val="hybridMultilevel"/>
    <w:tmpl w:val="BB7A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05F75"/>
    <w:multiLevelType w:val="hybridMultilevel"/>
    <w:tmpl w:val="A594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67BD4"/>
    <w:multiLevelType w:val="multilevel"/>
    <w:tmpl w:val="7AB25CE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A40A05"/>
    <w:multiLevelType w:val="hybridMultilevel"/>
    <w:tmpl w:val="46CC6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33EEA"/>
    <w:multiLevelType w:val="hybridMultilevel"/>
    <w:tmpl w:val="DF8E0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354729">
    <w:abstractNumId w:val="1"/>
  </w:num>
  <w:num w:numId="2" w16cid:durableId="1150293971">
    <w:abstractNumId w:val="0"/>
  </w:num>
  <w:num w:numId="3" w16cid:durableId="529219443">
    <w:abstractNumId w:val="2"/>
  </w:num>
  <w:num w:numId="4" w16cid:durableId="2107845258">
    <w:abstractNumId w:val="3"/>
  </w:num>
  <w:num w:numId="5" w16cid:durableId="967008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FC"/>
    <w:rsid w:val="00051355"/>
    <w:rsid w:val="00053307"/>
    <w:rsid w:val="00057917"/>
    <w:rsid w:val="00077143"/>
    <w:rsid w:val="000879ED"/>
    <w:rsid w:val="00091DD4"/>
    <w:rsid w:val="000B19B6"/>
    <w:rsid w:val="000D4E08"/>
    <w:rsid w:val="00131486"/>
    <w:rsid w:val="0017430E"/>
    <w:rsid w:val="0018522D"/>
    <w:rsid w:val="001951CE"/>
    <w:rsid w:val="001A27BA"/>
    <w:rsid w:val="001B317B"/>
    <w:rsid w:val="001B6C97"/>
    <w:rsid w:val="001C06AC"/>
    <w:rsid w:val="001F16EF"/>
    <w:rsid w:val="00203925"/>
    <w:rsid w:val="00211305"/>
    <w:rsid w:val="0022104A"/>
    <w:rsid w:val="00265617"/>
    <w:rsid w:val="002D13DA"/>
    <w:rsid w:val="002D591C"/>
    <w:rsid w:val="00310EEC"/>
    <w:rsid w:val="00311164"/>
    <w:rsid w:val="00321B50"/>
    <w:rsid w:val="003273F2"/>
    <w:rsid w:val="00372621"/>
    <w:rsid w:val="003B67AE"/>
    <w:rsid w:val="003C1A12"/>
    <w:rsid w:val="003C28C1"/>
    <w:rsid w:val="00423677"/>
    <w:rsid w:val="00426B88"/>
    <w:rsid w:val="00427592"/>
    <w:rsid w:val="0043264F"/>
    <w:rsid w:val="0043349E"/>
    <w:rsid w:val="00451EDF"/>
    <w:rsid w:val="00456724"/>
    <w:rsid w:val="0048310A"/>
    <w:rsid w:val="004867DF"/>
    <w:rsid w:val="004C3512"/>
    <w:rsid w:val="004F0731"/>
    <w:rsid w:val="00505461"/>
    <w:rsid w:val="005173E7"/>
    <w:rsid w:val="00522204"/>
    <w:rsid w:val="005400C0"/>
    <w:rsid w:val="005520B7"/>
    <w:rsid w:val="005911AE"/>
    <w:rsid w:val="005C0DF9"/>
    <w:rsid w:val="005C1F6C"/>
    <w:rsid w:val="005C5CFC"/>
    <w:rsid w:val="005E3BD3"/>
    <w:rsid w:val="005E7314"/>
    <w:rsid w:val="0060424C"/>
    <w:rsid w:val="00605574"/>
    <w:rsid w:val="00642A08"/>
    <w:rsid w:val="006508F7"/>
    <w:rsid w:val="006862A5"/>
    <w:rsid w:val="00691786"/>
    <w:rsid w:val="006A400C"/>
    <w:rsid w:val="006C0387"/>
    <w:rsid w:val="006C64AA"/>
    <w:rsid w:val="00742403"/>
    <w:rsid w:val="00754CEF"/>
    <w:rsid w:val="00793266"/>
    <w:rsid w:val="00850C2C"/>
    <w:rsid w:val="00863DF0"/>
    <w:rsid w:val="008968F1"/>
    <w:rsid w:val="008B6938"/>
    <w:rsid w:val="008D73D6"/>
    <w:rsid w:val="008E2551"/>
    <w:rsid w:val="008F40B7"/>
    <w:rsid w:val="00943468"/>
    <w:rsid w:val="0094359B"/>
    <w:rsid w:val="009625EE"/>
    <w:rsid w:val="00965D9C"/>
    <w:rsid w:val="009936B2"/>
    <w:rsid w:val="009B550D"/>
    <w:rsid w:val="009D04F8"/>
    <w:rsid w:val="00A03014"/>
    <w:rsid w:val="00A05921"/>
    <w:rsid w:val="00A05FC5"/>
    <w:rsid w:val="00A06399"/>
    <w:rsid w:val="00A130C9"/>
    <w:rsid w:val="00A1328F"/>
    <w:rsid w:val="00A31630"/>
    <w:rsid w:val="00A4205B"/>
    <w:rsid w:val="00A431CA"/>
    <w:rsid w:val="00A57B46"/>
    <w:rsid w:val="00A6394A"/>
    <w:rsid w:val="00A92AE6"/>
    <w:rsid w:val="00AC1F35"/>
    <w:rsid w:val="00AC5067"/>
    <w:rsid w:val="00AF52C7"/>
    <w:rsid w:val="00B14091"/>
    <w:rsid w:val="00B20FB7"/>
    <w:rsid w:val="00B335AB"/>
    <w:rsid w:val="00B60E2D"/>
    <w:rsid w:val="00B74EAD"/>
    <w:rsid w:val="00B754B6"/>
    <w:rsid w:val="00B94B28"/>
    <w:rsid w:val="00BA4727"/>
    <w:rsid w:val="00BB365D"/>
    <w:rsid w:val="00BB71FC"/>
    <w:rsid w:val="00BE46D1"/>
    <w:rsid w:val="00BF794C"/>
    <w:rsid w:val="00C27A92"/>
    <w:rsid w:val="00C53499"/>
    <w:rsid w:val="00C63C9D"/>
    <w:rsid w:val="00C65EA4"/>
    <w:rsid w:val="00C7159D"/>
    <w:rsid w:val="00C97FD1"/>
    <w:rsid w:val="00CC7993"/>
    <w:rsid w:val="00CD1692"/>
    <w:rsid w:val="00CE63BC"/>
    <w:rsid w:val="00D03F23"/>
    <w:rsid w:val="00D61E03"/>
    <w:rsid w:val="00D677CA"/>
    <w:rsid w:val="00D81E1A"/>
    <w:rsid w:val="00D946CF"/>
    <w:rsid w:val="00DB6C6B"/>
    <w:rsid w:val="00DD74E5"/>
    <w:rsid w:val="00DE5D11"/>
    <w:rsid w:val="00DF1F3D"/>
    <w:rsid w:val="00DF631C"/>
    <w:rsid w:val="00E25873"/>
    <w:rsid w:val="00E36C9B"/>
    <w:rsid w:val="00E36EAB"/>
    <w:rsid w:val="00E41234"/>
    <w:rsid w:val="00E5234A"/>
    <w:rsid w:val="00E93B97"/>
    <w:rsid w:val="00EF7EED"/>
    <w:rsid w:val="00F10CA4"/>
    <w:rsid w:val="00F226C3"/>
    <w:rsid w:val="00F25FA9"/>
    <w:rsid w:val="00F374AF"/>
    <w:rsid w:val="00F964B9"/>
    <w:rsid w:val="00FC481B"/>
    <w:rsid w:val="00FD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3C14"/>
  <w15:chartTrackingRefBased/>
  <w15:docId w15:val="{0EE952DF-71B5-3F42-9079-1EB8F1D2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014"/>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A639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9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06AC"/>
    <w:rPr>
      <w:color w:val="0563C1" w:themeColor="hyperlink"/>
      <w:u w:val="single"/>
    </w:rPr>
  </w:style>
  <w:style w:type="character" w:styleId="UnresolvedMention">
    <w:name w:val="Unresolved Mention"/>
    <w:basedOn w:val="DefaultParagraphFont"/>
    <w:uiPriority w:val="99"/>
    <w:semiHidden/>
    <w:unhideWhenUsed/>
    <w:rsid w:val="001C06AC"/>
    <w:rPr>
      <w:color w:val="605E5C"/>
      <w:shd w:val="clear" w:color="auto" w:fill="E1DFDD"/>
    </w:rPr>
  </w:style>
  <w:style w:type="table" w:styleId="TableGrid">
    <w:name w:val="Table Grid"/>
    <w:basedOn w:val="TableNormal"/>
    <w:uiPriority w:val="39"/>
    <w:rsid w:val="00A43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925"/>
    <w:pPr>
      <w:autoSpaceDE w:val="0"/>
      <w:autoSpaceDN w:val="0"/>
      <w:adjustRightInd w:val="0"/>
    </w:pPr>
    <w:rPr>
      <w:rFonts w:ascii="Helvetica" w:hAnsi="Helvetica" w:cs="Helvetica"/>
      <w:color w:val="000000"/>
    </w:rPr>
  </w:style>
  <w:style w:type="character" w:styleId="CommentReference">
    <w:name w:val="annotation reference"/>
    <w:basedOn w:val="DefaultParagraphFont"/>
    <w:uiPriority w:val="99"/>
    <w:semiHidden/>
    <w:unhideWhenUsed/>
    <w:rsid w:val="00965D9C"/>
    <w:rPr>
      <w:sz w:val="16"/>
      <w:szCs w:val="16"/>
    </w:rPr>
  </w:style>
  <w:style w:type="paragraph" w:styleId="CommentText">
    <w:name w:val="annotation text"/>
    <w:basedOn w:val="Normal"/>
    <w:link w:val="CommentTextChar"/>
    <w:uiPriority w:val="99"/>
    <w:semiHidden/>
    <w:unhideWhenUsed/>
    <w:rsid w:val="00965D9C"/>
    <w:rPr>
      <w:sz w:val="20"/>
      <w:szCs w:val="20"/>
    </w:rPr>
  </w:style>
  <w:style w:type="character" w:customStyle="1" w:styleId="CommentTextChar">
    <w:name w:val="Comment Text Char"/>
    <w:basedOn w:val="DefaultParagraphFont"/>
    <w:link w:val="CommentText"/>
    <w:uiPriority w:val="99"/>
    <w:semiHidden/>
    <w:rsid w:val="00965D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5D9C"/>
    <w:rPr>
      <w:b/>
      <w:bCs/>
    </w:rPr>
  </w:style>
  <w:style w:type="character" w:customStyle="1" w:styleId="CommentSubjectChar">
    <w:name w:val="Comment Subject Char"/>
    <w:basedOn w:val="CommentTextChar"/>
    <w:link w:val="CommentSubject"/>
    <w:uiPriority w:val="99"/>
    <w:semiHidden/>
    <w:rsid w:val="00965D9C"/>
    <w:rPr>
      <w:rFonts w:ascii="Times New Roman" w:eastAsia="Times New Roman" w:hAnsi="Times New Roman" w:cs="Times New Roman"/>
      <w:b/>
      <w:bCs/>
      <w:sz w:val="20"/>
      <w:szCs w:val="20"/>
    </w:rPr>
  </w:style>
  <w:style w:type="paragraph" w:styleId="ListParagraph">
    <w:name w:val="List Paragraph"/>
    <w:basedOn w:val="Normal"/>
    <w:uiPriority w:val="34"/>
    <w:qFormat/>
    <w:rsid w:val="00A92AE6"/>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D81E1A"/>
    <w:rPr>
      <w:color w:val="954F72" w:themeColor="followedHyperlink"/>
      <w:u w:val="single"/>
    </w:rPr>
  </w:style>
  <w:style w:type="paragraph" w:styleId="Header">
    <w:name w:val="header"/>
    <w:basedOn w:val="Normal"/>
    <w:link w:val="HeaderChar"/>
    <w:uiPriority w:val="99"/>
    <w:unhideWhenUsed/>
    <w:rsid w:val="00051355"/>
    <w:pPr>
      <w:tabs>
        <w:tab w:val="center" w:pos="4680"/>
        <w:tab w:val="right" w:pos="9360"/>
      </w:tabs>
    </w:pPr>
  </w:style>
  <w:style w:type="character" w:customStyle="1" w:styleId="HeaderChar">
    <w:name w:val="Header Char"/>
    <w:basedOn w:val="DefaultParagraphFont"/>
    <w:link w:val="Header"/>
    <w:uiPriority w:val="99"/>
    <w:rsid w:val="00051355"/>
    <w:rPr>
      <w:rFonts w:ascii="Times New Roman" w:eastAsia="Times New Roman" w:hAnsi="Times New Roman" w:cs="Times New Roman"/>
    </w:rPr>
  </w:style>
  <w:style w:type="paragraph" w:styleId="Footer">
    <w:name w:val="footer"/>
    <w:basedOn w:val="Normal"/>
    <w:link w:val="FooterChar"/>
    <w:uiPriority w:val="99"/>
    <w:unhideWhenUsed/>
    <w:rsid w:val="00051355"/>
    <w:pPr>
      <w:tabs>
        <w:tab w:val="center" w:pos="4680"/>
        <w:tab w:val="right" w:pos="9360"/>
      </w:tabs>
    </w:pPr>
  </w:style>
  <w:style w:type="character" w:customStyle="1" w:styleId="FooterChar">
    <w:name w:val="Footer Char"/>
    <w:basedOn w:val="DefaultParagraphFont"/>
    <w:link w:val="Footer"/>
    <w:uiPriority w:val="99"/>
    <w:rsid w:val="00051355"/>
    <w:rPr>
      <w:rFonts w:ascii="Times New Roman" w:eastAsia="Times New Roman" w:hAnsi="Times New Roman" w:cs="Times New Roman"/>
    </w:rPr>
  </w:style>
  <w:style w:type="paragraph" w:styleId="BodyText">
    <w:name w:val="Body Text"/>
    <w:basedOn w:val="Normal"/>
    <w:link w:val="BodyTextChar"/>
    <w:uiPriority w:val="1"/>
    <w:qFormat/>
    <w:rsid w:val="00051355"/>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051355"/>
    <w:rPr>
      <w:rFonts w:ascii="Arial" w:eastAsia="Arial" w:hAnsi="Arial" w:cs="Arial"/>
    </w:rPr>
  </w:style>
  <w:style w:type="paragraph" w:styleId="Title">
    <w:name w:val="Title"/>
    <w:basedOn w:val="Normal"/>
    <w:link w:val="TitleChar"/>
    <w:uiPriority w:val="10"/>
    <w:qFormat/>
    <w:rsid w:val="00051355"/>
    <w:pPr>
      <w:widowControl w:val="0"/>
      <w:autoSpaceDE w:val="0"/>
      <w:autoSpaceDN w:val="0"/>
      <w:spacing w:before="57"/>
      <w:ind w:left="256"/>
    </w:pPr>
    <w:rPr>
      <w:rFonts w:ascii="Arial" w:eastAsia="Arial" w:hAnsi="Arial" w:cs="Arial"/>
      <w:b/>
      <w:bCs/>
      <w:sz w:val="48"/>
      <w:szCs w:val="48"/>
    </w:rPr>
  </w:style>
  <w:style w:type="character" w:customStyle="1" w:styleId="TitleChar">
    <w:name w:val="Title Char"/>
    <w:basedOn w:val="DefaultParagraphFont"/>
    <w:link w:val="Title"/>
    <w:uiPriority w:val="10"/>
    <w:rsid w:val="00051355"/>
    <w:rPr>
      <w:rFonts w:ascii="Arial" w:eastAsia="Arial" w:hAnsi="Arial" w:cs="Arial"/>
      <w:b/>
      <w:bCs/>
      <w:sz w:val="48"/>
      <w:szCs w:val="48"/>
    </w:rPr>
  </w:style>
  <w:style w:type="character" w:styleId="PageNumber">
    <w:name w:val="page number"/>
    <w:basedOn w:val="DefaultParagraphFont"/>
    <w:uiPriority w:val="99"/>
    <w:semiHidden/>
    <w:unhideWhenUsed/>
    <w:rsid w:val="00B2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6395">
      <w:bodyDiv w:val="1"/>
      <w:marLeft w:val="0"/>
      <w:marRight w:val="0"/>
      <w:marTop w:val="0"/>
      <w:marBottom w:val="0"/>
      <w:divBdr>
        <w:top w:val="none" w:sz="0" w:space="0" w:color="auto"/>
        <w:left w:val="none" w:sz="0" w:space="0" w:color="auto"/>
        <w:bottom w:val="none" w:sz="0" w:space="0" w:color="auto"/>
        <w:right w:val="none" w:sz="0" w:space="0" w:color="auto"/>
      </w:divBdr>
    </w:div>
    <w:div w:id="527304225">
      <w:bodyDiv w:val="1"/>
      <w:marLeft w:val="0"/>
      <w:marRight w:val="0"/>
      <w:marTop w:val="0"/>
      <w:marBottom w:val="0"/>
      <w:divBdr>
        <w:top w:val="none" w:sz="0" w:space="0" w:color="auto"/>
        <w:left w:val="none" w:sz="0" w:space="0" w:color="auto"/>
        <w:bottom w:val="none" w:sz="0" w:space="0" w:color="auto"/>
        <w:right w:val="none" w:sz="0" w:space="0" w:color="auto"/>
      </w:divBdr>
    </w:div>
    <w:div w:id="836724777">
      <w:bodyDiv w:val="1"/>
      <w:marLeft w:val="0"/>
      <w:marRight w:val="0"/>
      <w:marTop w:val="0"/>
      <w:marBottom w:val="0"/>
      <w:divBdr>
        <w:top w:val="none" w:sz="0" w:space="0" w:color="auto"/>
        <w:left w:val="none" w:sz="0" w:space="0" w:color="auto"/>
        <w:bottom w:val="none" w:sz="0" w:space="0" w:color="auto"/>
        <w:right w:val="none" w:sz="0" w:space="0" w:color="auto"/>
      </w:divBdr>
    </w:div>
    <w:div w:id="1315573478">
      <w:bodyDiv w:val="1"/>
      <w:marLeft w:val="0"/>
      <w:marRight w:val="0"/>
      <w:marTop w:val="0"/>
      <w:marBottom w:val="0"/>
      <w:divBdr>
        <w:top w:val="none" w:sz="0" w:space="0" w:color="auto"/>
        <w:left w:val="none" w:sz="0" w:space="0" w:color="auto"/>
        <w:bottom w:val="none" w:sz="0" w:space="0" w:color="auto"/>
        <w:right w:val="none" w:sz="0" w:space="0" w:color="auto"/>
      </w:divBdr>
    </w:div>
    <w:div w:id="18943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va.cccco.edu/login?returnUrl=%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nfo.legislature.ca.gov/faces/codes_displaySection.xhtml?sectionNum=84906.&amp;lawCode=ED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lawCode=EDC&amp;sectionNum=849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ap@caladult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BDE4-45D7-D446-8E5D-A0E809C6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Parker</dc:creator>
  <cp:keywords/>
  <dc:description/>
  <cp:lastModifiedBy>Mandilee Gonzales</cp:lastModifiedBy>
  <cp:revision>2</cp:revision>
  <dcterms:created xsi:type="dcterms:W3CDTF">2022-07-20T23:54:00Z</dcterms:created>
  <dcterms:modified xsi:type="dcterms:W3CDTF">2022-07-20T23:54:00Z</dcterms:modified>
</cp:coreProperties>
</file>